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8486" w14:textId="7448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кардиологиялық окклюдерді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23 шілдедегі № 123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Өзінен-өзі ашылатын стерилдік құрылғыны білдіретін, нитинол торынан (титан мен никель қорытпасы) жасалған, іші синтетикалық полимерге толтырылған, жиылған түрде тү</w:t>
      </w:r>
      <w:r>
        <w:rPr>
          <w:rFonts w:ascii="Times New Roman"/>
          <w:b/>
          <w:i w:val="false"/>
          <w:color w:val="000000"/>
          <w:sz w:val="28"/>
        </w:rPr>
        <w:t xml:space="preserve">тікше пішіндегі, ашылған кезде </w:t>
      </w:r>
      <w:r>
        <w:rPr>
          <w:rFonts w:ascii="Times New Roman"/>
          <w:b/>
          <w:i w:val="false"/>
          <w:color w:val="000000"/>
          <w:sz w:val="28"/>
        </w:rPr>
        <w:t>жасалған материалдың "жады" әсерінің есебінен екі диск (қолшатыр) пішініне айналатын және жүрек қалқашаларының ақауларын (тесіктерін) хирургиялық емес (рентгеноэндоваскулярлық) жабуға ар</w:t>
      </w:r>
      <w:r>
        <w:rPr>
          <w:rFonts w:ascii="Times New Roman"/>
          <w:b/>
          <w:i w:val="false"/>
          <w:color w:val="000000"/>
          <w:sz w:val="28"/>
        </w:rPr>
        <w:t xml:space="preserve">налған кардиологиялық окклюдер 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сыртқы экономикалық қызметтің Тауар номенклатурасына Түсіндірмелердің 1 және 6-негізгі қағидасына сәйкес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</w:t>
      </w:r>
      <w:r>
        <w:rPr>
          <w:rFonts w:ascii="Times New Roman"/>
          <w:b/>
          <w:i w:val="false"/>
          <w:color w:val="000000"/>
          <w:sz w:val="28"/>
        </w:rPr>
        <w:t>ың 9021 90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900 9 кіші қосалқы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