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185c" w14:textId="6241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Қолма-қол ақша қаражатының және (немесе) ақша құралдарының шығу тегін растау үшін құжаттар ұсыну туралы</w:t>
      </w:r>
    </w:p>
    <w:p>
      <w:pPr>
        <w:spacing w:after="0"/>
        <w:ind w:left="0"/>
        <w:jc w:val="both"/>
      </w:pPr>
      <w:r>
        <w:rPr>
          <w:rFonts w:ascii="Times New Roman"/>
          <w:b w:val="false"/>
          <w:i w:val="false"/>
          <w:color w:val="000000"/>
          <w:sz w:val="28"/>
        </w:rPr>
        <w:t>Еуразиялық экономикалық комиссия Алқасының 2019 жылғы 6 тамыздағы № 130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109-бабының </w:t>
      </w:r>
      <w:r>
        <w:rPr>
          <w:rFonts w:ascii="Times New Roman"/>
          <w:b w:val="false"/>
          <w:i w:val="false"/>
          <w:color w:val="000000"/>
          <w:sz w:val="28"/>
        </w:rPr>
        <w:t>9-тармағына</w:t>
      </w:r>
      <w:r>
        <w:rPr>
          <w:rFonts w:ascii="Times New Roman"/>
          <w:b w:val="false"/>
          <w:i w:val="false"/>
          <w:color w:val="000000"/>
          <w:sz w:val="28"/>
        </w:rPr>
        <w:t xml:space="preserve"> және 261-бабының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Жолаушы кедендік декларациясы, егер мұндай қолма-қол ақша қаражатының және (немесе) ақша құралдарының жалпы сомасы оларды Еуразиялық экономикалық одақтың кедендік аумағына бір мезгілде әкелген немесе Еуразиялық экономикалық одақтың кедендік аумағынан бір мезгілде әкеткен кезде кеден органына жолаушы кедендік декларациясын тапсырған күні қолданыстағы валюта бағамы бойынша 100 мың АҚШ долларына балама сомадан асатын болса, қолма-қол ақша қаражатының және (немесе) ақша құралдарының шығу тегін растау үшін құжаттар ұсынумен бірге жүргізіледі деп белгіленсін.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180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