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a958" w14:textId="2e4a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құн декларациясының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2020 жылғы 1 ақпаннан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Кедендік құн декларациясының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"Сипаттамасы" деген бағандағы 3-позицияда "1.0.1" деген цифрлар "1.0.2" деген цифрлармен ауыстырылсын;</w:t>
      </w:r>
    </w:p>
    <w:bookmarkEnd w:id="5"/>
    <w:bookmarkStart w:name="z8" w:id="6"/>
    <w:p>
      <w:pPr>
        <w:spacing w:after="0"/>
        <w:ind w:left="0"/>
        <w:jc w:val="both"/>
      </w:pPr>
      <w:r>
        <w:rPr>
          <w:rFonts w:ascii="Times New Roman"/>
          <w:b w:val="false"/>
          <w:i w:val="false"/>
          <w:color w:val="000000"/>
          <w:sz w:val="28"/>
        </w:rPr>
        <w:t xml:space="preserve">
      б) "Сипаттамасы" деген бағандағы 4-позицияда "urn:EEC:R:038: CustomsValueDeclaration:v1.0.1" деген сөздер "urn:EEC:R:038: CustomsValueDeclaration:v1.0.2" деген сөздермен ауыстырылсын; </w:t>
      </w:r>
    </w:p>
    <w:bookmarkEnd w:id="6"/>
    <w:bookmarkStart w:name="z9" w:id="7"/>
    <w:p>
      <w:pPr>
        <w:spacing w:after="0"/>
        <w:ind w:left="0"/>
        <w:jc w:val="both"/>
      </w:pPr>
      <w:r>
        <w:rPr>
          <w:rFonts w:ascii="Times New Roman"/>
          <w:b w:val="false"/>
          <w:i w:val="false"/>
          <w:color w:val="000000"/>
          <w:sz w:val="28"/>
        </w:rPr>
        <w:t>
      в) "Сипаттамасы" деген бағандағы 6-позицияда "EEC_R_038_ CustomsValueDeclaration_v1.0.1.xsd" деген сөздер "EEC_R_038_ CustomsValueDeclaration_v1.0.2.xsd"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"3-кесте</w:t>
      </w:r>
    </w:p>
    <w:bookmarkEnd w:id="9"/>
    <w:bookmarkStart w:name="z12" w:id="10"/>
    <w:p>
      <w:pPr>
        <w:spacing w:after="0"/>
        <w:ind w:left="0"/>
        <w:jc w:val="left"/>
      </w:pPr>
      <w:r>
        <w:rPr>
          <w:rFonts w:ascii="Times New Roman"/>
          <w:b/>
          <w:i w:val="false"/>
          <w:color w:val="000000"/>
        </w:rPr>
        <w:t xml:space="preserve"> Кедендік құн декларациясы құрылымының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 сәйкестендіргіші</w:t>
            </w:r>
          </w:p>
          <w:p>
            <w:pPr>
              <w:spacing w:after="20"/>
              <w:ind w:left="20"/>
              <w:jc w:val="both"/>
            </w:pPr>
            <w:r>
              <w:rPr>
                <w:rFonts w:ascii="Times New Roman"/>
                <w:b w:val="false"/>
                <w:i w:val="false"/>
                <w:color w:val="000000"/>
                <w:sz w:val="20"/>
              </w:rPr>
              <w:t>
(casdo:‌Reference‌Document‌Id)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тауаларға арналған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8. ҚКД нысаны</w:t>
            </w:r>
          </w:p>
          <w:p>
            <w:pPr>
              <w:spacing w:after="20"/>
              <w:ind w:left="20"/>
              <w:jc w:val="both"/>
            </w:pPr>
            <w:r>
              <w:rPr>
                <w:rFonts w:ascii="Times New Roman"/>
                <w:b w:val="false"/>
                <w:i w:val="false"/>
                <w:color w:val="000000"/>
                <w:sz w:val="20"/>
              </w:rPr>
              <w:t>
(casdo:‌CVDForm‌Code)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декларациясы нысанының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12.14. Оқшауланған бөлімше </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13. Сатып алушы </w:t>
            </w:r>
          </w:p>
          <w:p>
            <w:pPr>
              <w:spacing w:after="20"/>
              <w:ind w:left="20"/>
              <w:jc w:val="both"/>
            </w:pPr>
            <w:r>
              <w:rPr>
                <w:rFonts w:ascii="Times New Roman"/>
                <w:b w:val="false"/>
                <w:i w:val="false"/>
                <w:color w:val="000000"/>
                <w:sz w:val="20"/>
              </w:rPr>
              <w:t>
(cacdo:‌Buyer‌Details)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13.14. Оқшауланған бөлімше </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14. Декларант (өтініш беруші) </w:t>
            </w:r>
          </w:p>
          <w:p>
            <w:pPr>
              <w:spacing w:after="20"/>
              <w:ind w:left="20"/>
              <w:jc w:val="both"/>
            </w:pPr>
            <w:r>
              <w:rPr>
                <w:rFonts w:ascii="Times New Roman"/>
                <w:b w:val="false"/>
                <w:i w:val="false"/>
                <w:color w:val="000000"/>
                <w:sz w:val="20"/>
              </w:rPr>
              <w:t>
(cacdo:‌Declarant‌Details)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14.14. Оқшауланған бөлімше </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тұлғаны енгізілгені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14.15.4. Куәлік типінің коды </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15. Беру шарттары </w:t>
            </w:r>
          </w:p>
          <w:p>
            <w:pPr>
              <w:spacing w:after="20"/>
              <w:ind w:left="20"/>
              <w:jc w:val="both"/>
            </w:pPr>
            <w:r>
              <w:rPr>
                <w:rFonts w:ascii="Times New Roman"/>
                <w:b w:val="false"/>
                <w:i w:val="false"/>
                <w:color w:val="000000"/>
                <w:sz w:val="20"/>
              </w:rPr>
              <w:t>
(cacdo:‌Delivery‌Terms‌Details)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шарттарының кодтық белгіленімі (беру базисі)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беру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бойынша кедендік құнды айқындау шарттары туралы жалпы мәліметтер (1-әдіс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алушыға шығарған және әкелінетін тауарлардың құндық бағасын қамтитын төлем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алу-сату (беру) келісімшарты (шарты, келісімі), қолданыстағы қосымшалар, оған толықтырулар және өзгерістер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мәліметтерге қатысы бар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құнының әкелінетін тауарлармен сәйкестігі және тексеру шамасы туралы егжей-тегжейлі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 болуының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байланыстың әкелінетін тауарлар бағасына әсерінің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жасалған мәміле құнының тексеру шамаларының біріне жақындығының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иелік ету құқықтарына қатысты шектеулер туралы мәліметтер, әкелінетін тауарлардың бағасына әсер ететін шарттар немесе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оларға иелік ету құқықтарына қатысты шектеулердің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шарттардың немесе міндеттемелердің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16.6. Сатушыға аударымдар </w:t>
            </w:r>
          </w:p>
          <w:p>
            <w:pPr>
              <w:spacing w:after="20"/>
              <w:ind w:left="20"/>
              <w:jc w:val="both"/>
            </w:pPr>
            <w:r>
              <w:rPr>
                <w:rFonts w:ascii="Times New Roman"/>
                <w:b w:val="false"/>
                <w:i w:val="false"/>
                <w:color w:val="000000"/>
                <w:sz w:val="20"/>
              </w:rPr>
              <w:t>
(cacdo:‌Buyer‌Seller‌Fee‌Details)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аударымдар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төлемдердің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оларға өзге де тәсілмен билік ету немесе пайдалану нәтижесінде алынған кірістің (пайданың) бір бөлігі оларға сәйкес тікелей немесе жанама түрде сатушыға тиесілі болатын шарттардың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 құны бойынша әдістен (1-әдістен) ерекше әдістер бойынша кедендік құнды айқындау кезінде көрсетілетін жалпы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жасалғанын растайтын құжат туралы, сондай-ақ оған қосымшалар, толықтырулар мен өзгерістер туралы немесе әкелінетін тауарларға иелік ету, пайдалану және (немесе) билік ету құқығын растайтын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әкелінген тауарлардың кедендік құнын кедендік бақылау нәтижелері бойынша кеден органдарының шешімдерімен не осындай тауарларға қатысты сот органдарының шешімдерімен қабылданған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соның негізінде толтырылған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кезінде олардан алынған мәліметтер пайдаланылған бұрын әкелінген бірдей, біртекті немесе әкелінетін тауардың бағасы туралы мәліметтерді қамтитын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  оған сәйкес кедендік рәсімге орналастырылған тауарларға арналған декларацияның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  оған сәйкес кедендік рәсімге орналастырылған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айқындаудың таңдалған әдісінің алдындағы әдістер оғанг байланысты қолданылмайтын себептерді негіздеу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есептеуге арналған негіз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шот валютасымен айқындау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мүше мемлекеттің валютасымен айқындауға арналған өзге де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бағаны немесе әкелінетін тауарлардың кедендік құнын мүше мемлекеттің валютасымен айқындауға арналған өзге де негізді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 шамасы,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шамасын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мүше мемлекеттің валютасымен есептеуге арналған негіздің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есептемелер</w:t>
            </w:r>
          </w:p>
          <w:p>
            <w:pPr>
              <w:spacing w:after="20"/>
              <w:ind w:left="20"/>
              <w:jc w:val="both"/>
            </w:pPr>
            <w:r>
              <w:rPr>
                <w:rFonts w:ascii="Times New Roman"/>
                <w:b w:val="false"/>
                <w:i w:val="false"/>
                <w:color w:val="000000"/>
                <w:sz w:val="20"/>
              </w:rPr>
              <w:t>
(cacdo:‌Method1‌Add‌Costs‌Details)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есептемелер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 үшін сыйақыларды қоспағанда, сатып алушының агенттерге (делдалдарға) сыйақысына және брокерлерге сыйақысына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тауарға жататын роялтиді, патент үшін төлемді, тауар белгілерін, авторлық құқықтарды қоса алғанда, зияткерлік меншік объектілерін пайдаланғаны үшін лицензиялық және өзге де ұқсас төлемдердің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тікелей немесе жанама тиесілі әкелінетін тауарларды кейіннен сату, оларға өзге де тәсілмен билік ету немесе пайдалану нәтижесінде алынған кіріс (түсім) бөлімінің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 операцияларды жүргізуге жұмсалатын шығыстар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қосымша есептеулер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18.10.3. Шегерімдер</w:t>
            </w:r>
          </w:p>
          <w:p>
            <w:pPr>
              <w:spacing w:after="20"/>
              <w:ind w:left="20"/>
              <w:jc w:val="both"/>
            </w:pPr>
            <w:r>
              <w:rPr>
                <w:rFonts w:ascii="Times New Roman"/>
                <w:b w:val="false"/>
                <w:i w:val="false"/>
                <w:color w:val="000000"/>
                <w:sz w:val="20"/>
              </w:rPr>
              <w:t>
(cacdo:‌Method1‌Deduction‌Details)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Еуразиялық экономикалық одақтың кедендік аумағына әкелгеннен кейін жүргізілетін құрылысқа, тұрғызуға, құрастыруға, монтаждауға, қызмет көрсетуге немесе өнеркәсіптік қондырғылар, машиналар немесе жабдық сияқты тауарларға қатысты техникалық жәрдем көрсетуге жұмсалатын шығыстардың шамасы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келу орнынан немесе Еуразиялық экономикалық комиссия айқындаған өзге орыннан осындай тауарларды Еуразиялық экономикалық одақтың кедендік аумағымен тасуға (тасымалдауға)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әкелумен немесе осындай тауарларды Еуразиялық экономикалық одақтың кедендік аумағында сатумен байланысты төленетін баждардың, салықтардың және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шегерімдердің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немесе біртекті тауарлармен жасалатын мәміленің құны жөніндегі әдіс бойынша (2 немесе 3-әдістері бойынша) немесе олардың негізінде резервтік әдіс бойынша (2 немесе 3-әдіс негізінде 6-әдіс бойынша кедендік құнды есептеу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тауарлармен жасалатын мәміленің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асып кетсе, бірдей немесе біртекті тауарлармен жасалатын мәміленің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немесе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аз болса, бірдей немесе біртекті тауарлармен жасалатын мәмілелер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және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операцияларды жүргізуге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валютасына түзетулерді есептегенде бірдей немесе біртекті тауарлармен жасалатын мәміленің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әдісі бойынша (4-әдіс бойынша) немесе оның негізінде резервтік әдіс бойынша (4-әдістің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белгіленген тауардың бірлігі өлшем бірлігінің кодтық белгіленімі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төленетін немесе төлеуге жататын сыйақының не пайда алу және жалпы (коммерциялық және басқарушылық) шығыстарды жабу үшін жүргізілетін баға үстемақысының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тасуға (тасымалдауға) және сақтандыруға және осындай шығыстар операцияларына байланысты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және алымдардың, сондай-ақ мүше мемлекеттердің аумақтарына тауарлар әкелумен және (немесе) сатумен байланысты төлеуге жататын өзге де салықтар мен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 тауарларды қайта өңдеу (өңдеу) нәтижесінде қосылған құн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бағасына мүше мемлекеттің валютасымен қосылған сома шегерімдерінің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әдісі (5-әдіс бойынша) немесе оның негізінде резервтік әдіс бойынша (5-әдіс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жұмсалатын шығыстардың және өндіріске, сондай-ақ әкелінетін тауарларды өндіруге байланысты өзге де операцияларға жұмсалатын шығыстардың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өндірумен байланысты өзге де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(коммерциялық және басқарушылық)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18.13.10. Орынның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деоперцияларды жүргізуге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құнының дәл шамасын мәлімдеу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көрсетілген соманы (шаманы) мүше мемлекеттің валютасына қайта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18.15.1. Құжат бағанының (позицияның)  нөмірі (сәйкестендіргіші) </w:t>
            </w:r>
          </w:p>
          <w:p>
            <w:pPr>
              <w:spacing w:after="20"/>
              <w:ind w:left="20"/>
              <w:jc w:val="both"/>
            </w:pPr>
            <w:r>
              <w:rPr>
                <w:rFonts w:ascii="Times New Roman"/>
                <w:b w:val="false"/>
                <w:i w:val="false"/>
                <w:color w:val="000000"/>
                <w:sz w:val="20"/>
              </w:rPr>
              <w:t>
(casdo:‌Document‌Box‌Id)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бағанының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сома (шама)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тауарларға жататын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(оған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20.1. Құжатқа қол қойған лауазымды тұлға </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20.4. Өкілеттікті куәландыратын құжат </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өкілеттікті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22. Қорғау жапсырмасының сәйкестендіргіші </w:t>
            </w:r>
          </w:p>
          <w:p>
            <w:pPr>
              <w:spacing w:after="20"/>
              <w:ind w:left="20"/>
              <w:jc w:val="both"/>
            </w:pPr>
            <w:r>
              <w:rPr>
                <w:rFonts w:ascii="Times New Roman"/>
                <w:b w:val="false"/>
                <w:i w:val="false"/>
                <w:color w:val="000000"/>
                <w:sz w:val="20"/>
              </w:rPr>
              <w:t>
(casdo:‌Security‌Label‌Id)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7-кестеде "Мәндер саласы" деген бағандағы 28 және 29-позициялардағы "сыныптауышқа" деген сөз "анықтамалыққа" деген сөзбен ауыстырылсын.</w:t>
      </w:r>
    </w:p>
    <w:bookmarkEnd w:id="11"/>
    <w:bookmarkStart w:name="z14" w:id="12"/>
    <w:p>
      <w:pPr>
        <w:spacing w:after="0"/>
        <w:ind w:left="0"/>
        <w:jc w:val="both"/>
      </w:pPr>
      <w:r>
        <w:rPr>
          <w:rFonts w:ascii="Times New Roman"/>
          <w:b w:val="false"/>
          <w:i w:val="false"/>
          <w:color w:val="000000"/>
          <w:sz w:val="28"/>
        </w:rPr>
        <w:t>
      4. 10-кесте мынадай редакцияда жазылсын:</w:t>
      </w:r>
    </w:p>
    <w:bookmarkEnd w:id="12"/>
    <w:bookmarkStart w:name="z15" w:id="13"/>
    <w:p>
      <w:pPr>
        <w:spacing w:after="0"/>
        <w:ind w:left="0"/>
        <w:jc w:val="both"/>
      </w:pPr>
      <w:r>
        <w:rPr>
          <w:rFonts w:ascii="Times New Roman"/>
          <w:b w:val="false"/>
          <w:i w:val="false"/>
          <w:color w:val="000000"/>
          <w:sz w:val="28"/>
        </w:rPr>
        <w:t>
      "10-кесте</w:t>
      </w:r>
    </w:p>
    <w:bookmarkEnd w:id="13"/>
    <w:bookmarkStart w:name="z16" w:id="14"/>
    <w:p>
      <w:pPr>
        <w:spacing w:after="0"/>
        <w:ind w:left="0"/>
        <w:jc w:val="left"/>
      </w:pPr>
      <w:r>
        <w:rPr>
          <w:rFonts w:ascii="Times New Roman"/>
          <w:b/>
          <w:i w:val="false"/>
          <w:color w:val="000000"/>
        </w:rPr>
        <w:t xml:space="preserve"> Кедендік құн декларациясы құрылымының жекелеген деректемелерін толтыру сипаттамасы</w:t>
      </w:r>
    </w:p>
    <w:bookmarkEnd w:id="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Тәртіп тармағы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1-әдіс негізіндегі 6-әдіс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құжатың (мәліметтердің) коды</w:t>
            </w:r>
          </w:p>
          <w:p>
            <w:pPr>
              <w:spacing w:after="20"/>
              <w:ind w:left="20"/>
              <w:jc w:val="both"/>
            </w:pPr>
            <w:r>
              <w:rPr>
                <w:rFonts w:ascii="Times New Roman"/>
                <w:b w:val="false"/>
                <w:i w:val="false"/>
                <w:color w:val="000000"/>
                <w:sz w:val="20"/>
              </w:rPr>
              <w:t>
(csdo:‌EDoc‌Code)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құжатың (мәліметтердің) коды</w:t>
            </w:r>
          </w:p>
          <w:p>
            <w:pPr>
              <w:spacing w:after="20"/>
              <w:ind w:left="20"/>
              <w:jc w:val="both"/>
            </w:pPr>
            <w:r>
              <w:rPr>
                <w:rFonts w:ascii="Times New Roman"/>
                <w:b w:val="false"/>
                <w:i w:val="false"/>
                <w:color w:val="000000"/>
                <w:sz w:val="20"/>
              </w:rPr>
              <w:t>
(csdo:‌EDoc‌Code)" деректемесі "R.038"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w:t>
            </w:r>
          </w:p>
          <w:p>
            <w:pPr>
              <w:spacing w:after="20"/>
              <w:ind w:left="20"/>
              <w:jc w:val="both"/>
            </w:pPr>
            <w:r>
              <w:rPr>
                <w:rFonts w:ascii="Times New Roman"/>
                <w:b w:val="false"/>
                <w:i w:val="false"/>
                <w:color w:val="000000"/>
                <w:sz w:val="20"/>
              </w:rPr>
              <w:t>
(csdo:‌EDoc‌Id)" деректемесінің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 деректемесі электрондық құжатты қалыптастырған ақпараттық жүйемен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уақыттың айырмашылығын көрсетумен жергілікті уақыттың мәні түрінде электрондық құжат (мәліметтер) қалыптастыру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мына шаблонға сәйкес келуге тиіс: YYYY-MM-DDThh:mm:ss.ccc±hh:mm, мұнда ссс - миллисекунд мәнін белгілейтін символдар (болмауы мүмкін)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(cacdo:‌Customs‌Declaration‌Id‌Details)" деректемесі электрондық құжатты қалыптастырған ақпараттық жүйемен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(cacdo:‌Customs‌Declaration‌Id‌Details)" деректемесі толтырылса, онда "Кеден құжатының тіркеу нөмірі (cacdo:‌Customs‌Declaration‌Id‌Details)" деректемесі кедендік құн декларациясы ол үшін толтырылған тауарларға арналған декларацияның тіркеу нөмірін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ЭД – егер кедендік құн декларациясы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сілтемелік сәйкестендіргіші</w:t>
            </w:r>
          </w:p>
          <w:p>
            <w:pPr>
              <w:spacing w:after="20"/>
              <w:ind w:left="20"/>
              <w:jc w:val="both"/>
            </w:pPr>
            <w:r>
              <w:rPr>
                <w:rFonts w:ascii="Times New Roman"/>
                <w:b w:val="false"/>
                <w:i w:val="false"/>
                <w:color w:val="000000"/>
                <w:sz w:val="20"/>
              </w:rPr>
              <w:t>
(casdo:‌Reference‌Document‌Id)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құжат данасының сілтемелік сәйкестендіргіші (casdo:ReferenceDocumentId)" деректемесі электрондық құжатты қалыптастырған ақпараттық жүйемен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"Қолданбалы құжат данасының сілтемелік сәйкестендіргіші (casdo:ReferenceDocumentId)" деректемесі кедендік құн декларациясы ол үшін толтырылған тауарларға арналған декларация данасының электрондық құжаты (мәліметтері) сәйкестендіргішінің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деректеменің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8. КҚД нысаны</w:t>
            </w:r>
          </w:p>
          <w:p>
            <w:pPr>
              <w:spacing w:after="20"/>
              <w:ind w:left="20"/>
              <w:jc w:val="both"/>
            </w:pPr>
            <w:r>
              <w:rPr>
                <w:rFonts w:ascii="Times New Roman"/>
                <w:b w:val="false"/>
                <w:i w:val="false"/>
                <w:color w:val="000000"/>
                <w:sz w:val="20"/>
              </w:rPr>
              <w:t>
(casdo:‌CVDForm‌Code)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нысаны (casdo: ‌CVDForm‌Code)" деректемесі мына мәндердің 1 қамтуға тиіс:</w:t>
            </w:r>
          </w:p>
          <w:p>
            <w:pPr>
              <w:spacing w:after="20"/>
              <w:ind w:left="20"/>
              <w:jc w:val="both"/>
            </w:pPr>
            <w:r>
              <w:rPr>
                <w:rFonts w:ascii="Times New Roman"/>
                <w:b w:val="false"/>
                <w:i w:val="false"/>
                <w:color w:val="000000"/>
                <w:sz w:val="20"/>
              </w:rPr>
              <w:t xml:space="preserve">
1 – КҚД-1 нысаны; </w:t>
            </w:r>
          </w:p>
          <w:p>
            <w:pPr>
              <w:spacing w:after="20"/>
              <w:ind w:left="20"/>
              <w:jc w:val="both"/>
            </w:pPr>
            <w:r>
              <w:rPr>
                <w:rFonts w:ascii="Times New Roman"/>
                <w:b w:val="false"/>
                <w:i w:val="false"/>
                <w:color w:val="000000"/>
                <w:sz w:val="20"/>
              </w:rPr>
              <w:t>
2 – КҚД-2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"1" мәнін қамтыса, онда "КҚД нысаны (casdo:‌CVDForm‌Code)" деректемесі "1" мәнін қамтуға тиіс, әйтпесе "КҚД нысаны (casdo:‌CVDForm‌Code)" деректемесі "2"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немесе кедендік құнды айқындаудың әртүрлі әдістерін қолдану кезінде – "*"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құнды айқындау әдісінің коды (casdo:ValuationMethodCode)" деректемесінің "анықтамалықтың (сыныптауыштың) сәйкестендіргіші (codeListId атрибуты"2005" мәнін қамтуға тиіс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 базалық әдісінің коды</w:t>
            </w:r>
          </w:p>
          <w:p>
            <w:pPr>
              <w:spacing w:after="20"/>
              <w:ind w:left="20"/>
              <w:jc w:val="both"/>
            </w:pPr>
            <w:r>
              <w:rPr>
                <w:rFonts w:ascii="Times New Roman"/>
                <w:b w:val="false"/>
                <w:i w:val="false"/>
                <w:color w:val="000000"/>
                <w:sz w:val="20"/>
              </w:rPr>
              <w:t>
(casdo:‌Base‌Valuation‌Method‌Code)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"6" мәнін қамтыса, онда "Кедендік құнды айқындау базалық әдісінің коды (casdo:BaseValuationMethodCode)" деректемесі толтырылуға тиіс, әйтпесе "Кедендік құнды айқындау базалық әдісінің коды (casdo:BaseValuationMethodCode)"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толтырылса, онда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(codeListId атрибуты" атрибуты "2005"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"Қосымша парақтардың саны (casdo:AddPageQuantity)" деректемесі толтырылуы мүмкін, әйтпесе "Қосымша парақтардың саны (casdo:AddPageQuantity)"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(casdo:‌Person‌Id)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12.14. Оқшауланған бөлімше </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13. Сатып алушы </w:t>
            </w:r>
          </w:p>
          <w:p>
            <w:pPr>
              <w:spacing w:after="20"/>
              <w:ind w:left="20"/>
              <w:jc w:val="both"/>
            </w:pPr>
            <w:r>
              <w:rPr>
                <w:rFonts w:ascii="Times New Roman"/>
                <w:b w:val="false"/>
                <w:i w:val="false"/>
                <w:color w:val="000000"/>
                <w:sz w:val="20"/>
              </w:rPr>
              <w:t>
(cacdo:‌Buyer‌Details)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(cacdo:BuyerDetails)"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"б"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мына мәндердің 1-ін қамтуға тиіс:</w:t>
            </w:r>
          </w:p>
          <w:p>
            <w:pPr>
              <w:spacing w:after="20"/>
              <w:ind w:left="20"/>
              <w:jc w:val="both"/>
            </w:pPr>
            <w:r>
              <w:rPr>
                <w:rFonts w:ascii="Times New Roman"/>
                <w:b w:val="false"/>
                <w:i w:val="false"/>
                <w:color w:val="000000"/>
                <w:sz w:val="20"/>
              </w:rPr>
              <w:t>
1 – негізгі мемлекеттік тіркеу нөмірі (НМТН);</w:t>
            </w:r>
          </w:p>
          <w:p>
            <w:pPr>
              <w:spacing w:after="20"/>
              <w:ind w:left="20"/>
              <w:jc w:val="both"/>
            </w:pPr>
            <w:r>
              <w:rPr>
                <w:rFonts w:ascii="Times New Roman"/>
                <w:b w:val="false"/>
                <w:i w:val="false"/>
                <w:color w:val="000000"/>
                <w:sz w:val="20"/>
              </w:rPr>
              <w:t>2 – жеке кәсіпкердің негізгі мемлекеттік тіркеу нөмірі (ЖКНМТН)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алушы (алушы)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алушы (алушы)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"Қатынас жасау деректемесі (ccdo:CommunicationDetails)" деректемесі толтырылмауға тиіс, әйтпесе "Қатынас жасау деректемесі (ccdo:CommunicationDetails)"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13.14. Оқшауланған бөлімше </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14. Декларант (өтініш беруші) </w:t>
            </w:r>
          </w:p>
          <w:p>
            <w:pPr>
              <w:spacing w:after="20"/>
              <w:ind w:left="20"/>
              <w:jc w:val="both"/>
            </w:pPr>
            <w:r>
              <w:rPr>
                <w:rFonts w:ascii="Times New Roman"/>
                <w:b w:val="false"/>
                <w:i w:val="false"/>
                <w:color w:val="000000"/>
                <w:sz w:val="20"/>
              </w:rPr>
              <w:t>
(cacdo:‌Declarant‌Details)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(cacdo:DeclarantDetails)"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"б"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мына мәндердің 1-ін қамтуға тиіс:</w:t>
            </w:r>
          </w:p>
          <w:p>
            <w:pPr>
              <w:spacing w:after="20"/>
              <w:ind w:left="20"/>
              <w:jc w:val="both"/>
            </w:pPr>
            <w:r>
              <w:rPr>
                <w:rFonts w:ascii="Times New Roman"/>
                <w:b w:val="false"/>
                <w:i w:val="false"/>
                <w:color w:val="000000"/>
                <w:sz w:val="20"/>
              </w:rPr>
              <w:t>
1 – негізгі мемлекеттік тіркеу нөмірі (НМТН);</w:t>
            </w:r>
          </w:p>
          <w:p>
            <w:pPr>
              <w:spacing w:after="20"/>
              <w:ind w:left="20"/>
              <w:jc w:val="both"/>
            </w:pPr>
            <w:r>
              <w:rPr>
                <w:rFonts w:ascii="Times New Roman"/>
                <w:b w:val="false"/>
                <w:i w:val="false"/>
                <w:color w:val="000000"/>
                <w:sz w:val="20"/>
              </w:rPr>
              <w:t>2 – жеке кәсіпкердің негізгі мемлекеттік тіркеу нөмірі (ЖКНМТН)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куәландыратын құжат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"Қатынас жасау деректемесі (ccdo:CommunicationDetails)" деректемесі толтырылмауға тиіс, әйтпесе "Қатынас жасау деректемесі (ccdo:CommunicationDetails)"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14.14. Оқшауланған бөлімше </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кезіндегі заңды тұлғаның тіркеу нөмірі (casdo:RegistrationNumberId)" деректемесі қайта тіркеу белгісі (қосу әрпі) көрсетілмей, тізілімге енгізілгені туралы куәліктің нөмірін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енгізілгені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14.15.4. Куәлік типінің коды </w:t>
            </w:r>
          </w:p>
          <w:p>
            <w:pPr>
              <w:spacing w:after="20"/>
              <w:ind w:left="20"/>
              <w:jc w:val="both"/>
            </w:pPr>
            <w:r>
              <w:rPr>
                <w:rFonts w:ascii="Times New Roman"/>
                <w:b w:val="false"/>
                <w:i w:val="false"/>
                <w:color w:val="000000"/>
                <w:sz w:val="20"/>
              </w:rPr>
              <w:t>
(casdo:‌AEORegistry‌Kind‌Code)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енгізілгені туралы куәліктің нөмірі куәліктің типі туралы мәліметтерді қамтыса, онда  "Куәлік типінің коды  (casdo:AEORegistryKindCode)" деректемесі толтырылуға тиіс, әйтпесе "Куәлік типінің коды  (casdo:‌AEORegistry‌Kind‌Code)"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15. Беру шарттары </w:t>
            </w:r>
          </w:p>
          <w:p>
            <w:pPr>
              <w:spacing w:after="20"/>
              <w:ind w:left="20"/>
              <w:jc w:val="both"/>
            </w:pPr>
            <w:r>
              <w:rPr>
                <w:rFonts w:ascii="Times New Roman"/>
                <w:b w:val="false"/>
                <w:i w:val="false"/>
                <w:color w:val="000000"/>
                <w:sz w:val="20"/>
              </w:rPr>
              <w:t>
(cacdo:‌Delivery‌Terms‌Details)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толтырылса, онда "Беру шарттарының коды (casdo:DeliveryTermsCode)" деректемесі беру шарттарының сыныптауышына сәйкес беру шарттары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коды (casdo:DeliveryTermsCode)" деректемесінің "анықтамалықтың (сыныптауыштың) сәйкестендіргіші (codeListId атрибуты)" атрибуты "2014"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15.2. Орынның атауы (аты) </w:t>
            </w:r>
          </w:p>
          <w:p>
            <w:pPr>
              <w:spacing w:after="20"/>
              <w:ind w:left="20"/>
              <w:jc w:val="both"/>
            </w:pPr>
            <w:r>
              <w:rPr>
                <w:rFonts w:ascii="Times New Roman"/>
                <w:b w:val="false"/>
                <w:i w:val="false"/>
                <w:color w:val="000000"/>
                <w:sz w:val="20"/>
              </w:rPr>
              <w:t>
(casdo:‌Place‌Name)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толтырылса, онда "Орынның атауы (аты)  (casdo:‌Place‌Name)" деректемесі географиялық пункттің атауын немесе "Әртүрлі"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толтырылмаса, онда "Орынның атауы (аты)  (casdo:PlaceName)" деректемесі "Әртүрлі"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онда "Әкелінетін тауарлармен жасалатын мәміленің құны бойынша кедендік құнды айқындау шарттары (cacdo:CVDMethod1Details)" деректемесі толтырылуға тиіс, әйтпесе "Әкелінетін тауарлармен жасалатын мәміленің құны бойынша кедендік құнды айқындау шарттары (cacdo:CVDMethod1Details)"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"Құнның тексеру шамасына жақындығының белгісі (casdo:ApproximateValueIndicator)" деректемесі "1" мәнін қамтыса, немесе "Тауарларға қатысты шарттардың және міндеттемелердің болуы белгісі (casdo:ValueConditionIndicator)" деректемесі "1" мәнін қамтыса немесе "Лицензиялық төлемдердің болу белгісі (casdo:RoyaltyFeeIndicator)" деректемесі "1" мәнін қамтыса немесе "Сатушыға кейінгі сатудан түсетін табыстың бір бөлігін беру белгісі (casdo:SubsequentResaleIndicator)" деректемесі "1" мәнін қамтыса, онда "Құжат (ccdo:DocV4Details)" деректемесі толтырылуға тиіс, әйтпесе "Құжат (ccdo:DocV4Details)"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болуының белгісі (casdo:RelationIndicator)" деректемесі мына мәндердің 1-ін қамтуға тиіс:</w:t>
            </w:r>
          </w:p>
          <w:p>
            <w:pPr>
              <w:spacing w:after="20"/>
              <w:ind w:left="20"/>
              <w:jc w:val="both"/>
            </w:pPr>
            <w:r>
              <w:rPr>
                <w:rFonts w:ascii="Times New Roman"/>
                <w:b w:val="false"/>
                <w:i w:val="false"/>
                <w:color w:val="000000"/>
                <w:sz w:val="20"/>
              </w:rPr>
              <w:t>
1 – сатушы мен сатып алушының арасында Кодекстің 37-бабында көрсетілген өзара байланыс бар;</w:t>
            </w:r>
          </w:p>
          <w:p>
            <w:pPr>
              <w:spacing w:after="20"/>
              <w:ind w:left="20"/>
              <w:jc w:val="both"/>
            </w:pPr>
            <w:r>
              <w:rPr>
                <w:rFonts w:ascii="Times New Roman"/>
                <w:b w:val="false"/>
                <w:i w:val="false"/>
                <w:color w:val="000000"/>
                <w:sz w:val="20"/>
              </w:rPr>
              <w:t>
0 – сатушы мен сатып алушының арасында Кодекстің 37-бабында көрсетілген өзара байланыс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"Өзара байланыс болуының белгісі (casdo:RelationIndicator)" деректемесі "1" мәнін қамтыса, онда "Өзара байланыстың бағаға әсерінің белгісі (casdo:PriceInfluenceIndicator)" деректемесі мына мәндердің 1-ін қамтуға тиіс: </w:t>
            </w:r>
          </w:p>
          <w:p>
            <w:pPr>
              <w:spacing w:after="20"/>
              <w:ind w:left="20"/>
              <w:jc w:val="both"/>
            </w:pPr>
            <w:r>
              <w:rPr>
                <w:rFonts w:ascii="Times New Roman"/>
                <w:b w:val="false"/>
                <w:i w:val="false"/>
                <w:color w:val="000000"/>
                <w:sz w:val="20"/>
              </w:rPr>
              <w:t xml:space="preserve">
1 – сатушы мен сатып алушының арасындағы өзара байланыс әкелінетін тауарлар үшін іс жүзінде төленген немесе төлеуге жататын бағаға әсер етті </w:t>
            </w:r>
          </w:p>
          <w:p>
            <w:pPr>
              <w:spacing w:after="20"/>
              <w:ind w:left="20"/>
              <w:jc w:val="both"/>
            </w:pPr>
            <w:r>
              <w:rPr>
                <w:rFonts w:ascii="Times New Roman"/>
                <w:b w:val="false"/>
                <w:i w:val="false"/>
                <w:color w:val="000000"/>
                <w:sz w:val="20"/>
              </w:rPr>
              <w:t>
0 – сатушы мен сатып алушының арасындағы өзара байланыс әкелінетін тауарлар үшін іс жүзінде төленген немесе төлеуге жататын бағаға әсер етпеді, әйтпесе "Өзара байланыстың бағаға әсерінің белгісі (casdo:PriceInfluenceIndicator)"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"Өзара байланыс болуының белгісі (casdo:RelationIndicator)" деректемесі "1" мәнін қамтыса, онда "Құнның тексеру шамасына жақындығының белгісі (casdo:ApproximateValueIndicator)" деректемесі мына мәндердің 1-ін қамтуға тиіс: </w:t>
            </w:r>
          </w:p>
          <w:p>
            <w:pPr>
              <w:spacing w:after="20"/>
              <w:ind w:left="20"/>
              <w:jc w:val="both"/>
            </w:pPr>
            <w:r>
              <w:rPr>
                <w:rFonts w:ascii="Times New Roman"/>
                <w:b w:val="false"/>
                <w:i w:val="false"/>
                <w:color w:val="000000"/>
                <w:sz w:val="20"/>
              </w:rPr>
              <w:t xml:space="preserve">
1 – әкелінетін тауарлармен жасалған мәміленің құны Кодекстің 39-бабының 5-тармағында көрсетілген ықтимал тексеру шамаларының біріне жақын, </w:t>
            </w:r>
          </w:p>
          <w:p>
            <w:pPr>
              <w:spacing w:after="20"/>
              <w:ind w:left="20"/>
              <w:jc w:val="both"/>
            </w:pPr>
            <w:r>
              <w:rPr>
                <w:rFonts w:ascii="Times New Roman"/>
                <w:b w:val="false"/>
                <w:i w:val="false"/>
                <w:color w:val="000000"/>
                <w:sz w:val="20"/>
              </w:rPr>
              <w:t>
0 – әкелінетін тауарлармен жасалған мәміленің құны Кодекстің 39-бабының 5-тармағында көрсетілген ықтимал тексеру шамаларының біріне жақын емес, әйтпесе "Құнның тексеру шамасына жақындығының белгісі (casdo:ApproximateValueIndicator)"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шектеулердің болу белгісі (casdo:RestrictionIndicator)" деректемесі мына мәндердің 1-ін қамтуға тиіс:</w:t>
            </w:r>
          </w:p>
          <w:p>
            <w:pPr>
              <w:spacing w:after="20"/>
              <w:ind w:left="20"/>
              <w:jc w:val="both"/>
            </w:pPr>
            <w:r>
              <w:rPr>
                <w:rFonts w:ascii="Times New Roman"/>
                <w:b w:val="false"/>
                <w:i w:val="false"/>
                <w:color w:val="000000"/>
                <w:sz w:val="20"/>
              </w:rPr>
              <w:t>1 – сатып алушының әкелінетін тауарларды пайдалану және оларға иелік ету құқықтарына қатысты шектеулер бар;</w:t>
            </w:r>
          </w:p>
          <w:p>
            <w:pPr>
              <w:spacing w:after="20"/>
              <w:ind w:left="20"/>
              <w:jc w:val="both"/>
            </w:pPr>
            <w:r>
              <w:rPr>
                <w:rFonts w:ascii="Times New Roman"/>
                <w:b w:val="false"/>
                <w:i w:val="false"/>
                <w:color w:val="000000"/>
                <w:sz w:val="20"/>
              </w:rPr>
              <w:t>
0 – сатып алушының әкелінетін тауарларды пайдалану және оларға иелік ету құқықтарына қатысты шектеулер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қатысты шарттардың және міндеттемелердің болуы белгісі (casdo:ValueConditionIndicator)" деректемесі мына мәндердің 1-ін қамтуға тиіс: </w:t>
            </w:r>
          </w:p>
          <w:p>
            <w:pPr>
              <w:spacing w:after="20"/>
              <w:ind w:left="20"/>
              <w:jc w:val="both"/>
            </w:pPr>
            <w:r>
              <w:rPr>
                <w:rFonts w:ascii="Times New Roman"/>
                <w:b w:val="false"/>
                <w:i w:val="false"/>
                <w:color w:val="000000"/>
                <w:sz w:val="20"/>
              </w:rPr>
              <w:t>
1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w:t>
            </w:r>
          </w:p>
          <w:p>
            <w:pPr>
              <w:spacing w:after="20"/>
              <w:ind w:left="20"/>
              <w:jc w:val="both"/>
            </w:pPr>
            <w:r>
              <w:rPr>
                <w:rFonts w:ascii="Times New Roman"/>
                <w:b w:val="false"/>
                <w:i w:val="false"/>
                <w:color w:val="000000"/>
                <w:sz w:val="20"/>
              </w:rPr>
              <w:t>
0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16.6. Сатушыға аударымдар </w:t>
            </w:r>
          </w:p>
          <w:p>
            <w:pPr>
              <w:spacing w:after="20"/>
              <w:ind w:left="20"/>
              <w:jc w:val="both"/>
            </w:pPr>
            <w:r>
              <w:rPr>
                <w:rFonts w:ascii="Times New Roman"/>
                <w:b w:val="false"/>
                <w:i w:val="false"/>
                <w:color w:val="000000"/>
                <w:sz w:val="20"/>
              </w:rPr>
              <w:t>
(cacdo:‌Buyer‌Seller‌Fee‌Details)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төлемдердің болу белгісі (casdo:RoyaltyFeeIndicator)" деректемесі мына мәндердің 1-ін қамтуға тиіс:</w:t>
            </w:r>
          </w:p>
          <w:p>
            <w:pPr>
              <w:spacing w:after="20"/>
              <w:ind w:left="20"/>
              <w:jc w:val="both"/>
            </w:pPr>
            <w:r>
              <w:rPr>
                <w:rFonts w:ascii="Times New Roman"/>
                <w:b w:val="false"/>
                <w:i w:val="false"/>
                <w:color w:val="000000"/>
                <w:sz w:val="20"/>
              </w:rPr>
              <w:t>1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көзделген;</w:t>
            </w:r>
          </w:p>
          <w:p>
            <w:pPr>
              <w:spacing w:after="20"/>
              <w:ind w:left="20"/>
              <w:jc w:val="both"/>
            </w:pPr>
            <w:r>
              <w:rPr>
                <w:rFonts w:ascii="Times New Roman"/>
                <w:b w:val="false"/>
                <w:i w:val="false"/>
                <w:color w:val="000000"/>
                <w:sz w:val="20"/>
              </w:rPr>
              <w:t xml:space="preserve">
0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көзделмеген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"Сатушыға кейінгі сатудан түсетін табыстың бір бөлігін беру белгісі (casdo:SubsequentResaleIndicator)" деректемесі мына мәндердің 1-ін қамтуға тиіс: </w:t>
            </w:r>
          </w:p>
          <w:p>
            <w:pPr>
              <w:spacing w:after="20"/>
              <w:ind w:left="20"/>
              <w:jc w:val="both"/>
            </w:pPr>
            <w:r>
              <w:rPr>
                <w:rFonts w:ascii="Times New Roman"/>
                <w:b w:val="false"/>
                <w:i w:val="false"/>
                <w:color w:val="000000"/>
                <w:sz w:val="20"/>
              </w:rPr>
              <w:t>
1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w:t>
            </w:r>
          </w:p>
          <w:p>
            <w:pPr>
              <w:spacing w:after="20"/>
              <w:ind w:left="20"/>
              <w:jc w:val="both"/>
            </w:pPr>
            <w:r>
              <w:rPr>
                <w:rFonts w:ascii="Times New Roman"/>
                <w:b w:val="false"/>
                <w:i w:val="false"/>
                <w:color w:val="000000"/>
                <w:sz w:val="20"/>
              </w:rPr>
              <w:t>
0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толтырылуға тиіс, әйтпесе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мәліметтерді растайтын құжат (cacdo:CVDEvidenceDocumentDetails)" деректемесінің данасы үшін  мына деректемелердің 1-і дәлме-дәл толтырылуға тиіс: "Құжат (ccdo:DocV4Details)", "Кеден құжатының тіркеу нөмірі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ең болмағанда бір данасының құрамындағы "Кедендік құнды айқындау базалық әдісінің коды (casdo:BaseValuationMethodCode)" деректемесі мына мәндердің 1-ін қамтыса: "2", "3", онда құрамында "Кеден құжатының тіркеу нөмірі (cacdo:CustomsDocIdDetails)"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"4", "5", немесе ең болмағанда "Тауар (cacdo:CVDGoodsItemDetails)" деректемесінің 1-інің құрамындағы "Кедендік құнды айқындау базалық әдісінің коды (casdo:BaseValuationMethodCode)" деректемесі мына мәндердің 1-ін қамтыса: "4", "5", онда құрамында "Құжат (ccdo:DocV4Details)"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"Тауардың реттік нөмірі (casdo:ConsignmentItemOrdinal)"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әдісінің коды (casdo:ValuationMethodCode)" деректемесінің мәні "Кедендік құнды айқындау әдісінің коды (casdo:ValuationMethodCode)" деректемесінің мәніне түбірлік деңгейде тең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"1" мәнін қамтымауға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құнды айқындау әдісінің коды (casdo:ValuationMethodCode)" деректемесінің "анықтамалықтың (сыныптауыштың) сәйкестендіргіші (countryCodeListId атрибуты)" атрибуты "2005" мәнін қамтуға тиіс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 базалық әдісінің коды</w:t>
            </w:r>
          </w:p>
          <w:p>
            <w:pPr>
              <w:spacing w:after="20"/>
              <w:ind w:left="20"/>
              <w:jc w:val="both"/>
            </w:pPr>
            <w:r>
              <w:rPr>
                <w:rFonts w:ascii="Times New Roman"/>
                <w:b w:val="false"/>
                <w:i w:val="false"/>
                <w:color w:val="000000"/>
                <w:sz w:val="20"/>
              </w:rPr>
              <w:t>
(casdo:‌Base‌Valuation‌Method‌Code)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"6" мәнін қамтыса, онда "Тауар (cacdo:CVDGoodsItemDetails)" деректемесінің құрамындағы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базалық әдісінің коды (casdo:BaseValuationMethodCode)"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түбірлік деңгейде толтырылса, онда "Тауар (cacdo:CVDGoodsItemDetails)" деректемесінің құрамындағы "Кедендік құнды айқындау базалық әдісінің коды (casdo:BaseValuationMethodCode)" деректемесінің мәні  "Кедендік құнды айқындау базалық әдісінің коды (casdo:BaseValuationMethodCode)" деректемесінің мәніне түбірлік деңгейде тең болуға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мүше мемлекеттің валютасындағы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АҚШ долларындағы кедендік құнының мәнін қамтитын "Кедендік құн (casdo:CustomsValueAmount)" деректемесінің данасы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(casdo:CustomsValueAmount)" деректемесінің "валютаның коды (currencyCode атрибуты)" мүше мемлекет валютасы кодының үш әріптік мәнін немесе валюталар сыныптауышына сәйкес "USD"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мүше мемлекеттің валютасымен көрсетілген тауардың кедендік құнын АҚШ долларына қайта есептеу ол бойынша жүзеге асырылған АҚШ долларының мүше мемлекет валютасына бағамының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атрибуты"USD"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"1" мәнін қамтыса немесе "Тауар (cacdo:CVDGoodsItemDetails)" деректемесінің құрамындағы "Кедендік құнды айқындау базалық әдісінің коды (casdo:BaseValuationMethodCode)" деректемесі  "1" мәнін қамтыса, онда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толтырылуға тиіс, әйтпесе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валютасындағы баға (casdo:InvoicePriceAmount)" деректемесінің "валютаның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баға (casdo:NationalInvoicePriceAmount)"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баға (casdo:NationalInvoicePriceAmount)"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"валютаның коды (currencyCode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"масштаб</w:t>
            </w:r>
          </w:p>
          <w:p>
            <w:pPr>
              <w:spacing w:after="20"/>
              <w:ind w:left="20"/>
              <w:jc w:val="both"/>
            </w:pPr>
            <w:r>
              <w:rPr>
                <w:rFonts w:ascii="Times New Roman"/>
                <w:b w:val="false"/>
                <w:i w:val="false"/>
                <w:color w:val="000000"/>
                <w:sz w:val="20"/>
              </w:rPr>
              <w:t>
(scaleNumber атрибуты)" атрибутының мәні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жанама төлемдер сомасы (casdo:NationalIndirectPaymentAmount)"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"Ұлттық валютадағы жанама төлемдер сомасы (casdo:NationalIndirectPaymentAmount)" деректемесі толтырылса, онда "Жанама төлемдерді қайта есептеу бағамы (casdo:IndirectPaymentCurrencyRate)" деректемесі толтырылуға тиіс, әйтпесе "Жанама төлемдерді қайта есептеу бағамы (casdo:IndirectPaymentCurrencyRate)"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w:t>
            </w:r>
          </w:p>
          <w:p>
            <w:pPr>
              <w:spacing w:after="20"/>
              <w:ind w:left="20"/>
              <w:jc w:val="both"/>
            </w:pPr>
            <w:r>
              <w:rPr>
                <w:rFonts w:ascii="Times New Roman"/>
                <w:b w:val="false"/>
                <w:i w:val="false"/>
                <w:color w:val="000000"/>
                <w:sz w:val="20"/>
              </w:rPr>
              <w:t>
(casdo:‌Indirect‌Payment‌Currency‌Rate)"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"масштаб (scaleNumber атрибуты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есептемелер</w:t>
            </w:r>
          </w:p>
          <w:p>
            <w:pPr>
              <w:spacing w:after="20"/>
              <w:ind w:left="20"/>
              <w:jc w:val="both"/>
            </w:pPr>
            <w:r>
              <w:rPr>
                <w:rFonts w:ascii="Times New Roman"/>
                <w:b w:val="false"/>
                <w:i w:val="false"/>
                <w:color w:val="000000"/>
                <w:sz w:val="20"/>
              </w:rPr>
              <w:t>
(cacdo:‌Method1‌Add‌Costs‌Details)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есептемелер (cacdo:Method1AddCostsDetails)" деректемесі толтырылса, онда мына деректемелердің кемінде 1-і толтырылуға тиіс: "Агентке (делдалға), брокерге сыйақылар сомасы (casdo:‌Brokerage‌Amount)", "Ыдыс пен қаптаманың құны (casdo:‌Package‌Value‌Amount)",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"Лицензиялық және өзге де ұқсас төлемдердің сомасы (casdo:‌Royalty‌Amount)", "Тауарларды кейіннен сатудан түскен кіріс (түсім) сомасы (casdo:‌Subsequent‌Resale‌Amount)", "Тасуға (тасымалдауға) жұмсалатын шығыстардың сомасы (casdo:‌Transport‌Value‌Amount)",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"Агентке (делдалға), брокерге сыйақылар сомасы (casdo:BrokerageAmount)"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және өзге де ұқсас төлемдердің сомасы (casdo:RoyaltyAmount)"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және өзге де ұқсас төлемдердің сомасы (casdo:RoyaltyAmount)"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"1" мәнін қамтыса, онда "Тауарларды кейіннен сатудан түскен кіріс (түсім) сомасы (casdo:‌Subsequent‌Resale‌Amount)"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"0" мәнін қамтыса, онда "Тауарларды кейіннен сатудан түскен кіріс (түсім) сомасы (casdo:SubsequentResaleAmount)"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"Тауарларды кейіннен сатудан түскен кіріс (түсім) сомасы (casdo:SubsequentResaleAmount)"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кейіннен сатудан түскен кіріс (түсім) сомасы (casdo:SubsequentResaleAmount)" деректемесі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кейіннен сатудан түскен кіріс (түсім) сомасы (casdo:SubsequentResaleAmount)"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*.9. Орынның атауы (аты) </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18.10.3. Шегерімдер</w:t>
            </w:r>
          </w:p>
          <w:p>
            <w:pPr>
              <w:spacing w:after="20"/>
              <w:ind w:left="20"/>
              <w:jc w:val="both"/>
            </w:pPr>
            <w:r>
              <w:rPr>
                <w:rFonts w:ascii="Times New Roman"/>
                <w:b w:val="false"/>
                <w:i w:val="false"/>
                <w:color w:val="000000"/>
                <w:sz w:val="20"/>
              </w:rPr>
              <w:t>
(cacdo:‌Method1‌Deduction‌Details)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"Шегерімдер (cacdo:Method1DeductionDetails)" деректемесі толтырылса, онда мына деректемелердің кемінде 1-і толтырылуға тиіс: "Құрылысқа, тұрғызуға, құрастыруға, монтаждауға жұмсалатын шығыстардың сомасы (casdo:‌Assembly‌Value‌Amount)", "Тасуға (тасымалдауға) жұмсалатын шығыстардың сомасы (casdo:‌Transport‌Value‌Amount)", "Баждардың, салықтардың және алымдардың сомасы (casdo:‌Union‌Tax‌Payment‌Amount)"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тұрғызуға, құрастыруға, монтаждауға жұмсалатын шығыстардың сомасы (casdo:AssemblyValueAmount)"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тұрғызуға, құрастыруға, монтаждауға жұмсалатын шығыстардың сомасы (casdo:AssemblyValueAmount)"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құрамындағы "Кедендік құнды айқындау базалық әдісінің коды (casdo:BaseValuationMethodCode)" деректемесі  мына мәндердің 1-ін қамтыса: "2", "3", онда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толтырылуға тиіс, әйтпесе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тауарлармен жасалатын мәміленің құны (casdo:IdenticalGoodsValueAmount)"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тауарлармен жасалатын мәміленің құны (casdo:IdenticalGoodsValueAmount)"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құнын азайту жағына қарай түзетулер (cacdo:DeductionAdjustmentsDetails)"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*.3. Орынның атауы (аты) </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 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құнын ұлғайту жағына қарай түзетулер (cacdo:AdditionsAdjustmentsDetails)"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*.3. Орынның атауы (аты) </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тауарлардың саны (cacdo:IdenticalGoodsMeasureDetails)" деректемесі толтырылса, онда "Тауардың саны (cacdo:‌Goods‌Measure‌Details)" толтырылуға тиіс, әйтпесе "Тауардың саны (cacdo:GoodsMeasureDetails)"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"4" мәнін қамтыса немесе "Тауар (cacdo:CVDGoodsItemDetails)" деректемесінің құрамындағы "Кедендік құнды айқындау базалық әдісінің коды (casdo:BaseValuationMethodCode)" деректемесі  "4" мәнін қамтыса, онда "Шегеру әдісі бойынша немесе оның негізінде резервтік әдіс бойынша кедендік құнды есептеу (cacdo:CVDMethod46CalculationDetails)" деректемесі толтырылуға тиіс, әйтпесе "Шегеру әдісі бойынша немесе оның негізінде резервтік әдіс бойынша кедендік құнды есептеу (cacdo:CVDMethod46CalculationDetails)"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бірлігінің бағасы (casdo:GoodsUnitPriceAmount)"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 (casdo:GoodsUnitPriceAmount)"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18.12.2. Өлшем бірлігі</w:t>
            </w:r>
          </w:p>
          <w:p>
            <w:pPr>
              <w:spacing w:after="20"/>
              <w:ind w:left="20"/>
              <w:jc w:val="both"/>
            </w:pPr>
            <w:r>
              <w:rPr>
                <w:rFonts w:ascii="Times New Roman"/>
                <w:b w:val="false"/>
                <w:i w:val="false"/>
                <w:color w:val="000000"/>
                <w:sz w:val="20"/>
              </w:rPr>
              <w:t>
(csdo:‌Unified‌Measurement‌Unit‌Code)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деректемесінің "анықтамалықтың (сыныптауыштың) сәйкестендіргіші (codeListId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(өңдеу) нәтижесінде қосылған құн  (casdo:ProcessingValueAmount)"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нәтижесінде қосылған құн  (casdo:ProcessingValueAmount)"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атрибутының мәні "Өлшем бірлігі (csdo:UnifiedMeasurementUnitCode)" деректемесінің мәніне тең болуға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"5" мәнін қамтыса немесе "Тауар (cacdo:CVDGoodsItemDetails)" деректемесінің құрамындағы "Кедендік құнды айқындау базалық әдісінің коды (casdo:BaseValuationMethodCode)" деректемесі  "5" мәнін қамтыса, онда "Қосу әдісі немесе оның негізінде резервтік әдіс бойынша кедендік құнды есептеу (cacdo:CVDMethod56CalculationDetails)" деректемесі толтырылуға тиіс, әйтпесе "Қосу әдісі немесе оның негізінде резервтік әдіс бойынша кедендік құнды есептеу (cacdo:CVDMethod56CalculationDetails)"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"Қосу әдісі немесе оның негізінде резервтік әдіс бойынша кедендік құнды есептеу (cacdo:CVDMethod56CalculationDetails)" деректемесі толтырылса, онда мына деректемелердің кемінде 1-і толтырылуға тиіс: "Материалдарға өндіріске, тауарлар өндірумен байланысты өзге де операцияларға жұмсалатын шығыстар сомасы (casdo:‌Production‌Value‌Amount)", "Ыдыс пен қаптаманың құны (casdo:‌Package‌Value‌Amount)",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"Тауарларды өндірумен байланысты өзге де шығыстардың сомасы (casdo:‌Add‌Production‌Value‌Amount)", "Пайданың, агентке (делдалға) төленетін сыйақының, баға үстемақысының сомасы (casdo:‌Profit‌Amount)",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өндіріске, тауарлар өндірумен байланысты өзге де операцияларға жұмсалатын шығыстар сомасы (casdo:ProductionValueAmount)"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өндіріске, тауарлар өндірумен байланысты өзге де операцияларға жұмсалатын шығыстар сомасы (casdo:‌Production‌Value‌Amount)"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("е"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("ж"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өндірумен байланысты өзге де шығыстардың сомасы (casdo:AddProductionValueAmount)"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өндірумен байланысты өзге де шығыстардың сомасы (casdo:AddProductionValueAmount)"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18.13.10. Орынның атауы (аты) </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деректер"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деректер"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құнның дәл шамасын мәлімдеу мерзімі (casdo:CustomsValueDate)" деректемесі толтырылса, онда деректеменің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18.15.1. Құжат бағанының (позицияның)  нөмірі (сәйкестендіргіші) </w:t>
            </w:r>
          </w:p>
          <w:p>
            <w:pPr>
              <w:spacing w:after="20"/>
              <w:ind w:left="20"/>
              <w:jc w:val="both"/>
            </w:pPr>
            <w:r>
              <w:rPr>
                <w:rFonts w:ascii="Times New Roman"/>
                <w:b w:val="false"/>
                <w:i w:val="false"/>
                <w:color w:val="000000"/>
                <w:sz w:val="20"/>
              </w:rPr>
              <w:t>
(casdo:‌Document‌Box‌Id)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"валютаның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1 тауарға қатысты қосымша деректерді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xml:space="preserve">
2 – кедендік әкелу бажының ең жоғары адвалорлық ставкасы немесе ең көп салық салу деңгейі оған қатысты қолданылатын әкелінетін тауар үшін іс жүзінде төленген немесе төлеуге жататын бағаға лицензиялық және өзге де ұқсас төлемдердің жиынтық шамасын қосу туралы мәліметтер; </w:t>
            </w:r>
          </w:p>
          <w:p>
            <w:pPr>
              <w:spacing w:after="20"/>
              <w:ind w:left="20"/>
              <w:jc w:val="both"/>
            </w:pPr>
            <w:r>
              <w:rPr>
                <w:rFonts w:ascii="Times New Roman"/>
                <w:b w:val="false"/>
                <w:i w:val="false"/>
                <w:color w:val="000000"/>
                <w:sz w:val="20"/>
              </w:rPr>
              <w:t>
3 – лицензиялық және өзге де ұқсас төлемдердің шамасын әкелінетін тауардың кедендік құнына қоспау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18.16.2. Сипаттамасы</w:t>
            </w:r>
          </w:p>
          <w:p>
            <w:pPr>
              <w:spacing w:after="20"/>
              <w:ind w:left="20"/>
              <w:jc w:val="both"/>
            </w:pPr>
            <w:r>
              <w:rPr>
                <w:rFonts w:ascii="Times New Roman"/>
                <w:b w:val="false"/>
                <w:i w:val="false"/>
                <w:color w:val="000000"/>
                <w:sz w:val="20"/>
              </w:rPr>
              <w:t>
(csdo:‌Description‌Text)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ақпарат түрінің коды (casdo:CVDAdditionalInformationKindCode)" деректемесі  "3" мәнін қамтыса, онда "Кеден құжатының тіркеу нөмірі (cacdo:‌Customs‌Doc‌Id‌Details)" деректемесі толтырылуға тиіс, әйтпесе "Кеден құжатының тіркеу нөмірі (cacdo:‌Customs‌Doc‌Id‌Details)"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"Тауарларға арналған декларациядағы тауардың реттік нөмірі (casdo:‌DTConsignmentItemOrdinal)"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барлық тауарларға жататын қосымша деректерді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19.2. Сипаттамасы</w:t>
            </w:r>
          </w:p>
          <w:p>
            <w:pPr>
              <w:spacing w:after="20"/>
              <w:ind w:left="20"/>
              <w:jc w:val="both"/>
            </w:pPr>
            <w:r>
              <w:rPr>
                <w:rFonts w:ascii="Times New Roman"/>
                <w:b w:val="false"/>
                <w:i w:val="false"/>
                <w:color w:val="000000"/>
                <w:sz w:val="20"/>
              </w:rPr>
              <w:t>
(csdo:‌Description‌Text)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20.1. Құжатқа қол қойған лауазымды тұлға </w:t>
            </w:r>
          </w:p>
          <w:p>
            <w:pPr>
              <w:spacing w:after="20"/>
              <w:ind w:left="20"/>
              <w:jc w:val="both"/>
            </w:pPr>
            <w:r>
              <w:rPr>
                <w:rFonts w:ascii="Times New Roman"/>
                <w:b w:val="false"/>
                <w:i w:val="false"/>
                <w:color w:val="000000"/>
                <w:sz w:val="20"/>
              </w:rPr>
              <w:t>
(cacdo:‌Signing‌Details)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20.1.3. Қатынас жасау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"Қатынас жасау деректемесі (ccdo:CommunicationDetails)" деректемесі толтырылмауға тиіс, әйтпесе "Қатынас жасау деректемесі (ccdo:CommunicationDetails)"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 (casdo:SigningDate)"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"Жеке куәлік (ccdo:‌Identity‌Doc‌V3‌Details)" толтырылмауға тиіс, әйтпесе "Жеке куәлік (ccdo:IdentityDocV3Details)"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куәландыратын құжат түрі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"Кедендік рәсімдеу жөніндегі маманның біліктілік аттестатының нөмірі (casdo: ‌Qualification‌Certificate‌Id)" деректемесі толтырылмауға тиіс, әйтпесе "Кедендік рәсімдеу жөніндегі маманның біліктілік аттестатының нөмірі (casdo:‌Qualification‌Certificate‌Id)"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20.4. Өкілеттікті куәландыратын құжат </w:t>
            </w:r>
          </w:p>
          <w:p>
            <w:pPr>
              <w:spacing w:after="20"/>
              <w:ind w:left="20"/>
              <w:jc w:val="both"/>
            </w:pPr>
            <w:r>
              <w:rPr>
                <w:rFonts w:ascii="Times New Roman"/>
                <w:b w:val="false"/>
                <w:i w:val="false"/>
                <w:color w:val="000000"/>
                <w:sz w:val="20"/>
              </w:rPr>
              <w:t>
(cacdo:‌Power‌Of‌Attorney‌Details)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кедендік өкілдің шығыс құжаттарын есепке алу жүйесінде құжатты тіркеу нөмірі (casdo:‌Internal‌Doc‌Id)"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"Декларанттың немесе кедендік өкілдің шығыс құжаттарын есепке алу жүйесінде құжатты тіркеу нөмірі (casdo:‌Internal‌Doc‌Id)" деректемесі  толтырылмауға тиіс, әйтпесе "Декларанттың немесе кедендік өкілдің шығыс құжаттарын есепке алу жүйесінде құжатты тіркеу нөмірі (casdo:‌Internal‌Doc‌Id)" деректемесі толтырылуға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22. Қорғау жапсырмасының сәйкестендіргіші </w:t>
            </w:r>
          </w:p>
          <w:p>
            <w:pPr>
              <w:spacing w:after="20"/>
              <w:ind w:left="20"/>
              <w:jc w:val="both"/>
            </w:pPr>
            <w:r>
              <w:rPr>
                <w:rFonts w:ascii="Times New Roman"/>
                <w:b w:val="false"/>
                <w:i w:val="false"/>
                <w:color w:val="000000"/>
                <w:sz w:val="20"/>
              </w:rPr>
              <w:t>
(casdo:‌Security‌Label‌Id)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(casdo:‌Security‌Label‌Id)"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"Қорғау жапсырмасының сәйкестендіргіші  (casdo:‌Security‌Label‌Id)" деректемесі толтырылмауға тиіс, әйтпесе "Қорғау жапсырмасының сәйкестендіргіші  (casdo:‌Security‌Label‌Id)" деректемесі толтырылуға тиіс</w:t>
            </w:r>
          </w:p>
        </w:tc>
      </w:tr>
    </w:tbl>
    <w:p>
      <w:pPr>
        <w:spacing w:after="0"/>
        <w:ind w:left="0"/>
        <w:jc w:val="both"/>
      </w:pPr>
      <w:r>
        <w:rPr>
          <w:rFonts w:ascii="Times New Roman"/>
          <w:b w:val="false"/>
          <w:i w:val="false"/>
          <w:color w:val="000000"/>
          <w:sz w:val="28"/>
        </w:rPr>
        <w:t>
      ________________</w:t>
      </w:r>
    </w:p>
    <w:bookmarkStart w:name="z17" w:id="15"/>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