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2472" w14:textId="7de2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ауруларының ошақтарын профилактикалау, диагностикалау, оқшаулау және жою кезінде Еуразиялық экономикалық одаққа мүше мемлекеттердің оларға қатысты өзара іс-қимылы жүзеге асырылатын жануарлардың аса қауіпті, карантиндік және зооноздық ауруларының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58-бабына</w:t>
      </w:r>
      <w:r>
        <w:rPr>
          <w:rFonts w:ascii="Times New Roman"/>
          <w:b w:val="false"/>
          <w:i w:val="false"/>
          <w:color w:val="000000"/>
          <w:sz w:val="28"/>
        </w:rPr>
        <w:t xml:space="preserve"> және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Жануарлар ауруларының ошақтарын профилактикалау, диагностикалау, оқшаулау және жою кезінде Еуразиялық экономикалық одаққа мүше мемлекеттердің оларға қатысты өзара іс-қимылы жүзеге асырылатын жануарлардың аса қауіпті, карантиндік және зооноздық ауруларының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оператордың анықтамалыққа қатысты функцияларын Еуразиялық экономикалық комиссия орындайды;</w:t>
      </w:r>
    </w:p>
    <w:p>
      <w:pPr>
        <w:spacing w:after="0"/>
        <w:ind w:left="0"/>
        <w:jc w:val="both"/>
      </w:pPr>
      <w:r>
        <w:rPr>
          <w:rFonts w:ascii="Times New Roman"/>
          <w:b w:val="false"/>
          <w:i w:val="false"/>
          <w:color w:val="000000"/>
          <w:sz w:val="28"/>
        </w:rPr>
        <w:t>
      ветеринариялық-санитариялық шараларды қолдану аясында жалпы процестерді Еуразиялық экономикалық одақ шеңберінде іске асыру кезінде анықтамалықтың кодтық белгіленімдерін пайдалану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156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Жануарлар ауруларының ошақтарын профилактикалау, диагностикалау, оқшаулау және жою кезінде Еуразиялық экономикалық одаққа мүше мемлекеттердің оларға қатысты өзара іс-қимылы жүзеге асырылатын жануарлардың аса қауіпті, карантиндік және зооноздық ауруларының АНЫҚТАМАЛЫҒЫ</w:t>
      </w:r>
    </w:p>
    <w:bookmarkEnd w:id="3"/>
    <w:bookmarkStart w:name="z8" w:id="4"/>
    <w:p>
      <w:pPr>
        <w:spacing w:after="0"/>
        <w:ind w:left="0"/>
        <w:jc w:val="left"/>
      </w:pPr>
      <w:r>
        <w:rPr>
          <w:rFonts w:ascii="Times New Roman"/>
          <w:b/>
          <w:i w:val="false"/>
          <w:color w:val="000000"/>
        </w:rPr>
        <w:t xml:space="preserve"> I. Анықтамалықтан ізеуірттелген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ауруының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ауруының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қой және ешкі, шошқа бруцеллезі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стоматит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венесуэль энцефаломиелиті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көпіршікті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патогенді құс тұмауы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септицемия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қоянының геморрагиялық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тұмауы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ерінше тәрізді энцефалопатиясы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безгегі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түйінді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инфекциялық эпидидимиті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инфекциялық ринотрахеиті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инфекциялық плевропневмониясы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катаральды безгегі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контагиозды плевропневмониясы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пустулезді дерматит (эктима)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 аңғары безгегі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шешегі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скрепі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сальмонеллезі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(топалаң, кебенек, жамандат, қарасан, ақшелек)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хламидиозы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 ұсақ малдардың 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қараның энзоотикалық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w:t>
            </w:r>
          </w:p>
        </w:tc>
      </w:tr>
    </w:tbl>
    <w:bookmarkStart w:name="z9" w:id="5"/>
    <w:p>
      <w:pPr>
        <w:spacing w:after="0"/>
        <w:ind w:left="0"/>
        <w:jc w:val="left"/>
      </w:pPr>
      <w:r>
        <w:rPr>
          <w:rFonts w:ascii="Times New Roman"/>
          <w:b/>
          <w:i w:val="false"/>
          <w:color w:val="000000"/>
        </w:rPr>
        <w:t xml:space="preserve"> II.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ошақтарын профилактикалау, диагностикалау, оқшаулау және жою кезінде Еуразиялық экономикалық одаққа мүше мемлекеттердің оларға қатысты өзара іс-қимылы жүзеге асырылатын жануарлардың аса қауіпті, карантиндік және зооноздық ауруларының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ЖҚКАА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028– 2019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156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19 қазан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қолдануды тоқтату туралы актінің деректермелері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ошақтарын профилактикалау, диагностикалау, оқшаулау және жою кезінде Еуразиялық экономикалық одаққа мүше мемлекеттердің оларға қатысты өзара іс-қимылы жүзеге асырылатын жануарлардың аса қауіпті, карантиндік және зооноздық ауруларының түрлері туралы мәліметтерді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 үшін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карантин, жануарлардың қауіпті аурулары,  жануарлардың карантиндік аурулары, жануарлардың зоонозды аурулары, жануарлардың аса қауіпті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өкілеттігі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халықаралық (мемлекетаралық, өңірлік)  анықтамалықты әзірлеу кезінде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жүйелендірудің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комиссияның актісіне сәйкес оператор орындайды. Оператор өзекті мәліметтерді Еуразиялық экономикалық одақтың ақпараттық бірыңғай нормативтік-анықтамалық жүйесі ресурстарына орналастыруды қамтамасыз етеді. Мән алып тасталған жағдайда Еуразиялық экономикалық комиссияның анықтамалықтағы жазбаның қолданысы аяқталуын регламенттейтін актісі туралы мәліметтерді көрсете отырып, анықтамалықтың жазбасы алынып тасталған күннен бастап қолданылмайды деп белгіленеді. Анықтамалықтың кодтары  бірегей болып табылады, анықтамалықтың кодтарын, оның ішінде қолданылмайтындарын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(жолақтардың құрамы олардың мәндерінің саласы және қалыптастыру ережесі) осы құжаттың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жетімді ақпаратқа жатқызылады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 осы құжаттың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Бұл бөлім анықтамалықтың құрылымын және деректемелер құрамын, оның ішінде деректемелер мәндерінің саласы мен оларды қалыптастыру ережесін айқындайды.</w:t>
      </w:r>
    </w:p>
    <w:bookmarkEnd w:id="7"/>
    <w:bookmarkStart w:name="z12" w:id="8"/>
    <w:p>
      <w:pPr>
        <w:spacing w:after="0"/>
        <w:ind w:left="0"/>
        <w:jc w:val="both"/>
      </w:pPr>
      <w:r>
        <w:rPr>
          <w:rFonts w:ascii="Times New Roman"/>
          <w:b w:val="false"/>
          <w:i w:val="false"/>
          <w:color w:val="000000"/>
          <w:sz w:val="28"/>
        </w:rPr>
        <w:t>
      2. Анықтамалықтың деректемелер құрамы мен құрылымы мына жолақтар (бағандар) қалыптасатын кестеде келтірілген.</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ережесі" – деректеменің мақсатын нақтылайтын және оны қалыптастыру (толтыру) ережесін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 – деректеменің көптігі (деректеменің ықтимал қайталану міндеттілігі (опциялығы) және саны).</w:t>
      </w:r>
    </w:p>
    <w:bookmarkStart w:name="z13" w:id="9"/>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белгілеулер пайдаланылады:</w:t>
      </w:r>
    </w:p>
    <w:bookmarkEnd w:id="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0..m – деректеме опциялы, m реттен асырмай қайталана алады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және деректемелер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Жануардың ауруы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  ауруының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w:t>
            </w:r>
          </w:p>
          <w:p>
            <w:pPr>
              <w:spacing w:after="20"/>
              <w:ind w:left="20"/>
              <w:jc w:val="both"/>
            </w:pPr>
            <w:r>
              <w:rPr>
                <w:rFonts w:ascii="Times New Roman"/>
                <w:b w:val="false"/>
                <w:i w:val="false"/>
                <w:color w:val="000000"/>
                <w:sz w:val="20"/>
              </w:rPr>
              <w:t>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кодтаудың реттік әдісін пайдалана отырып 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Жануар ауруының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мемлекеттік стандарттарға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қолданылысының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 түрлерінің сыныптауышына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стандартына сәйкес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Қолданысының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 түрлерінің сыныптауышына сәйкес кодтық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