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58f6" w14:textId="55d5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қатысты тұлғалар жүзеге асыратын қызмет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14 қазандағы № 182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ветеринариялық бақылауға (қадағалауға) жататын тауарларға қатысты тұлғалар жүзеге асыратын қызмет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нормативтік-анықтамалық ақпаратының бірыңғай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белгіленімдерін пайдалану Еуразиялық экономикалық одақ шеңберінде ветеринарлық-санитариялық шараларды қолдану саласындағы жалпы процестерді іске асыру кезінде міндетті болып табылады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14 қазандағы</w:t>
            </w:r>
            <w:r>
              <w:br/>
            </w:r>
            <w:r>
              <w:rPr>
                <w:rFonts w:ascii="Times New Roman"/>
                <w:b w:val="false"/>
                <w:i w:val="false"/>
                <w:color w:val="000000"/>
                <w:sz w:val="20"/>
              </w:rPr>
              <w:t>№ 182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Ветеринариялық бақылауға (қадағалауға) жататын тауарларға қатысты тұлғалар жүзеге асыратын қызмет түрлерінің АНЫҚТАМАЛЫҒЫ</w:t>
      </w:r>
    </w:p>
    <w:bookmarkEnd w:id="2"/>
    <w:bookmarkStart w:name="z8" w:id="3"/>
    <w:p>
      <w:pPr>
        <w:spacing w:after="0"/>
        <w:ind w:left="0"/>
        <w:jc w:val="left"/>
      </w:pPr>
      <w:r>
        <w:rPr>
          <w:rFonts w:ascii="Times New Roman"/>
          <w:b/>
          <w:i w:val="false"/>
          <w:color w:val="000000"/>
        </w:rPr>
        <w:t xml:space="preserve"> I. Анықтамалықтан ізеуірттелген мәліметтер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bl>
    <w:bookmarkStart w:name="z9" w:id="4"/>
    <w:p>
      <w:pPr>
        <w:spacing w:after="0"/>
        <w:ind w:left="0"/>
        <w:jc w:val="left"/>
      </w:pPr>
      <w:r>
        <w:rPr>
          <w:rFonts w:ascii="Times New Roman"/>
          <w:b/>
          <w:i w:val="false"/>
          <w:color w:val="000000"/>
        </w:rPr>
        <w:t xml:space="preserve"> II. Анықтамалық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(қадағалауға) жататын тауарларға қатысты тұлғалар жүзеге асыратын қызмет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024-2019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14 қазандағы № 182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 2019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ветеринарлық бақылауға (қадағалауға) жататын тауарларға қатысты тұлғалар жүзеге асыратын негізгі қызмет түрлерін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 үшін электрондық құжаттарды (мәліметтерді) қалыптастыру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(қадағалауға) жататын қызмет түрлері, ветеринариялық бақылау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 әзірлеу кезінде халықаралық (мемлекетаралық, өңірлік) сыныптауыштар және (немесе) стандарттар пайдаланылмады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әдістемесі. Анықтамалық мәндерін қосуды өзгертуді немесе алып тастауды Еуразиялық экономикалық комиссияның актісіне сәйкес оператор орындайды. Оператор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 алып тасталған жағдайда анықтамалық Еуразиялық экономикалық комиссияның анықтамалық жазбасының қолданылуының аяқталуын регламенттейтін актісі туралы мәліметтер көрсетіле отырып, алып тасталған күннен бастап жарамсыз ретінде жазбасы белгіленеді. Анықтамалық кодтары бірегей болып табылады, анықтамалық кодтарын, оның ішінде жұмыс істемейтін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(жолдардың құрамы, олардың мәндерінің саласы және қалыптастыру қағидалары) осы құжаттың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егжей-тегжейлі мәліметтер осы құжаттың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5"/>
    <w:p>
      <w:pPr>
        <w:spacing w:after="0"/>
        <w:ind w:left="0"/>
        <w:jc w:val="left"/>
      </w:pPr>
      <w:r>
        <w:rPr>
          <w:rFonts w:ascii="Times New Roman"/>
          <w:b/>
          <w:i w:val="false"/>
          <w:color w:val="000000"/>
        </w:rPr>
        <w:t xml:space="preserve"> III. Анықтамалық құрылымының сипаттамасы</w:t>
      </w:r>
    </w:p>
    <w:bookmarkEnd w:id="5"/>
    <w:bookmarkStart w:name="z11" w:id="6"/>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саласын және оларды қалыптастыру қағидаларын айқындайды.</w:t>
      </w:r>
    </w:p>
    <w:bookmarkEnd w:id="6"/>
    <w:bookmarkStart w:name="z12" w:id="7"/>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жолдар (бағандар) қалыптасады:</w:t>
      </w:r>
    </w:p>
    <w:bookmarkEnd w:id="7"/>
    <w:p>
      <w:pPr>
        <w:spacing w:after="0"/>
        <w:ind w:left="0"/>
        <w:jc w:val="both"/>
      </w:pPr>
      <w:r>
        <w:rPr>
          <w:rFonts w:ascii="Times New Roman"/>
          <w:b w:val="false"/>
          <w:i w:val="false"/>
          <w:color w:val="000000"/>
          <w:sz w:val="28"/>
        </w:rPr>
        <w:t>
      "деректеменің атауы" - деректеменің реттік нөмірі және қалыптасқан</w:t>
      </w:r>
    </w:p>
    <w:p>
      <w:pPr>
        <w:spacing w:after="0"/>
        <w:ind w:left="0"/>
        <w:jc w:val="both"/>
      </w:pPr>
      <w:r>
        <w:rPr>
          <w:rFonts w:ascii="Times New Roman"/>
          <w:b w:val="false"/>
          <w:i w:val="false"/>
          <w:color w:val="000000"/>
          <w:sz w:val="28"/>
        </w:rPr>
        <w:t>
      немесе оның ресми сөздік белгіленімі;</w:t>
      </w:r>
    </w:p>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(опционалдығы) және деректеменің ықтимал қайталануының саны).</w:t>
      </w:r>
    </w:p>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реквизит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емес қайталануы мүмкін (m &gt; 1).</w:t>
      </w:r>
    </w:p>
    <w:bookmarkStart w:name="z13" w:id="8"/>
    <w:p>
      <w:pPr>
        <w:spacing w:after="0"/>
        <w:ind w:left="0"/>
        <w:jc w:val="both"/>
      </w:pPr>
      <w:r>
        <w:rPr>
          <w:rFonts w:ascii="Times New Roman"/>
          <w:b w:val="false"/>
          <w:i w:val="false"/>
          <w:color w:val="000000"/>
          <w:sz w:val="28"/>
        </w:rPr>
        <w:t>
      Кесте</w:t>
      </w:r>
    </w:p>
    <w:bookmarkEnd w:id="8"/>
    <w:bookmarkStart w:name="z14" w:id="9"/>
    <w:p>
      <w:pPr>
        <w:spacing w:after="0"/>
        <w:ind w:left="0"/>
        <w:jc w:val="left"/>
      </w:pPr>
      <w:r>
        <w:rPr>
          <w:rFonts w:ascii="Times New Roman"/>
          <w:b/>
          <w:i w:val="false"/>
          <w:color w:val="000000"/>
        </w:rPr>
        <w:t xml:space="preserve"> Анықтамалықтың құрылымы мен деректемелік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түрі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шаблонына сәйкес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реттік әдісі пайдаланыла отырып қалыптастырылады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ұзындық: 1.</w:t>
            </w:r>
          </w:p>
          <w:p>
            <w:pPr>
              <w:spacing w:after="20"/>
              <w:ind w:left="20"/>
              <w:jc w:val="both"/>
            </w:pPr>
            <w:r>
              <w:rPr>
                <w:rFonts w:ascii="Times New Roman"/>
                <w:b w:val="false"/>
                <w:i w:val="false"/>
                <w:color w:val="000000"/>
                <w:sz w:val="20"/>
              </w:rPr>
              <w:t>
Ең жоғары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(сыныптауышы) жазбасы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Қолданысының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қолданылуының басталу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 (сыныптауыш) жазбасының қолданылуының басталуын регламенттейтін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қалыпты жолы.</w:t>
            </w:r>
          </w:p>
          <w:p>
            <w:pPr>
              <w:spacing w:after="20"/>
              <w:ind w:left="20"/>
              <w:jc w:val="both"/>
            </w:pPr>
            <w:r>
              <w:rPr>
                <w:rFonts w:ascii="Times New Roman"/>
                <w:b w:val="false"/>
                <w:i w:val="false"/>
                <w:color w:val="000000"/>
                <w:sz w:val="20"/>
              </w:rPr>
              <w:t>Шаблон: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 түрлерінің сыныптауышына сәйкес актінің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ұзындық: 1.</w:t>
            </w:r>
          </w:p>
          <w:p>
            <w:pPr>
              <w:spacing w:after="20"/>
              <w:ind w:left="20"/>
              <w:jc w:val="both"/>
            </w:pPr>
            <w:r>
              <w:rPr>
                <w:rFonts w:ascii="Times New Roman"/>
                <w:b w:val="false"/>
                <w:i w:val="false"/>
                <w:color w:val="000000"/>
                <w:sz w:val="20"/>
              </w:rPr>
              <w:t>
Ең жоғары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Қолданысының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қолданылуының аяқталу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 (сыныптауыш) жазбасының қолданылуының аяқталуын регламенттейтін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қалыпты жолы.</w:t>
            </w:r>
          </w:p>
          <w:p>
            <w:pPr>
              <w:spacing w:after="20"/>
              <w:ind w:left="20"/>
              <w:jc w:val="both"/>
            </w:pPr>
            <w:r>
              <w:rPr>
                <w:rFonts w:ascii="Times New Roman"/>
                <w:b w:val="false"/>
                <w:i w:val="false"/>
                <w:color w:val="000000"/>
                <w:sz w:val="20"/>
              </w:rPr>
              <w:t>Шаблон: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 түрлерінің сыныптауышына сәйкес актінің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ұзындық: 1.</w:t>
            </w:r>
          </w:p>
          <w:p>
            <w:pPr>
              <w:spacing w:after="20"/>
              <w:ind w:left="20"/>
              <w:jc w:val="both"/>
            </w:pPr>
            <w:r>
              <w:rPr>
                <w:rFonts w:ascii="Times New Roman"/>
                <w:b w:val="false"/>
                <w:i w:val="false"/>
                <w:color w:val="000000"/>
                <w:sz w:val="20"/>
              </w:rPr>
              <w:t>
Ең жоғары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қабылданған күніне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