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de47" w14:textId="97cd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өнеркәсіптік кооперация, субконтрактация және технологиялар трансфері желісі" жобасын іске асыру жөніндегі іс-шаралардың жоғары деңгейлі жоспарын бекіту туралы</w:t>
      </w:r>
    </w:p>
    <w:p>
      <w:pPr>
        <w:spacing w:after="0"/>
        <w:ind w:left="0"/>
        <w:jc w:val="both"/>
      </w:pPr>
      <w:r>
        <w:rPr>
          <w:rFonts w:ascii="Times New Roman"/>
          <w:b w:val="false"/>
          <w:i w:val="false"/>
          <w:color w:val="000000"/>
          <w:sz w:val="28"/>
        </w:rPr>
        <w:t>Еуразиялық экономикалық комиссия Кеңесінің 2019 жылғы 28 мамырдағы № 21 өкімі</w:t>
      </w:r>
    </w:p>
    <w:p>
      <w:pPr>
        <w:spacing w:after="0"/>
        <w:ind w:left="0"/>
        <w:jc w:val="both"/>
      </w:pPr>
      <w:bookmarkStart w:name="z0" w:id="0"/>
      <w:r>
        <w:rPr>
          <w:rFonts w:ascii="Times New Roman"/>
          <w:b w:val="false"/>
          <w:i w:val="false"/>
          <w:color w:val="000000"/>
          <w:sz w:val="28"/>
        </w:rPr>
        <w:t xml:space="preserve">
      Еуразиялық үкіметаралық кеңестің 2019 жылғы 1 ақпандағы № 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цифрлық күн тәртібі шеңберінде жобаларды іске асыру механизмдеріне сәйкес:</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өнеркәсіптік кооперация, субконтрактация және технологиялар трансфері желісі" жобасын іске асыру жөніндегі іс-шаралардың </w:t>
      </w:r>
      <w:r>
        <w:rPr>
          <w:rFonts w:ascii="Times New Roman"/>
          <w:b w:val="false"/>
          <w:i w:val="false"/>
          <w:color w:val="000000"/>
          <w:sz w:val="28"/>
        </w:rPr>
        <w:t>жоғары деңгейлі жоспары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Өкім Еуразиялық үкіметаралық кеңестің "Еуразиялық өнеркәсіптік кооперация, субконтрактация және технологиялар трансфері желісі" жобасын іске асыру туралы" </w:t>
      </w:r>
      <w:r>
        <w:rPr>
          <w:rFonts w:ascii="Times New Roman"/>
          <w:b w:val="false"/>
          <w:i w:val="false"/>
          <w:color w:val="000000"/>
          <w:sz w:val="28"/>
        </w:rPr>
        <w:t>өкімі</w:t>
      </w:r>
      <w:r>
        <w:rPr>
          <w:rFonts w:ascii="Times New Roman"/>
          <w:b w:val="false"/>
          <w:i w:val="false"/>
          <w:color w:val="000000"/>
          <w:sz w:val="28"/>
        </w:rPr>
        <w:t xml:space="preserve"> күшіне енген күннен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 2019 жылғы</w:t>
            </w:r>
            <w:r>
              <w:br/>
            </w:r>
            <w:r>
              <w:rPr>
                <w:rFonts w:ascii="Times New Roman"/>
                <w:b w:val="false"/>
                <w:i w:val="false"/>
                <w:color w:val="000000"/>
                <w:sz w:val="20"/>
              </w:rPr>
              <w:t>28 мамырдағы</w:t>
            </w:r>
            <w:r>
              <w:br/>
            </w:r>
            <w:r>
              <w:rPr>
                <w:rFonts w:ascii="Times New Roman"/>
                <w:b w:val="false"/>
                <w:i w:val="false"/>
                <w:color w:val="000000"/>
                <w:sz w:val="20"/>
              </w:rPr>
              <w:t>№ 21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 жобасын іске асыру жөніндегі іс-шаралардың  ЖОҒАРЫ ДЕҢГЕЙЛІ ЖОСПАРЫ</w:t>
      </w:r>
    </w:p>
    <w:bookmarkEnd w:id="3"/>
    <w:bookmarkStart w:name="z5" w:id="4"/>
    <w:p>
      <w:pPr>
        <w:spacing w:after="0"/>
        <w:ind w:left="0"/>
        <w:jc w:val="both"/>
      </w:pPr>
      <w:r>
        <w:rPr>
          <w:rFonts w:ascii="Times New Roman"/>
          <w:b w:val="false"/>
          <w:i w:val="false"/>
          <w:color w:val="000000"/>
          <w:sz w:val="28"/>
        </w:rPr>
        <w:t>
      Осы жоспарда мынаны білдіретін ұғымдар пайдаланылады:</w:t>
      </w:r>
    </w:p>
    <w:bookmarkEnd w:id="4"/>
    <w:p>
      <w:pPr>
        <w:spacing w:after="0"/>
        <w:ind w:left="0"/>
        <w:jc w:val="both"/>
      </w:pPr>
      <w:r>
        <w:rPr>
          <w:rFonts w:ascii="Times New Roman"/>
          <w:b w:val="false"/>
          <w:i w:val="false"/>
          <w:color w:val="000000"/>
          <w:sz w:val="28"/>
        </w:rPr>
        <w:t>
      "ұлттық тапсырыс беруші – үйлестіруші" – Еуразиялық экономикалық одаққа мүше мемлекеттің (бұдан әрі тиісінше – мүше мемлекет, Одақ) "Еуразиялық өнеркәсіптік кооперация, субконтрактация және технологиялар трансфері желісі" жобасын әзірлеуге, іске асыруға және осы жоба шеңберіндегі іс-шаралардың және (немесе) жұмыстардың мүше мемлекет аумағында орындалу барысын бақылауға қатысатын, жобаны әзірлеу мен іске асыру кезінде көрсетілген органдардың қызметін үйлестіруді жүзеге асыратын органдарының бірі;</w:t>
      </w:r>
    </w:p>
    <w:p>
      <w:pPr>
        <w:spacing w:after="0"/>
        <w:ind w:left="0"/>
        <w:jc w:val="both"/>
      </w:pPr>
      <w:r>
        <w:rPr>
          <w:rFonts w:ascii="Times New Roman"/>
          <w:b w:val="false"/>
          <w:i w:val="false"/>
          <w:color w:val="000000"/>
          <w:sz w:val="28"/>
        </w:rPr>
        <w:t>
      "желі операторы" – Еуразиялық экономикалық комиссия (бұдан әрі – Комиссия) еуразиялық өнеркәсіптік кооперация, субконтрактация және технологиялар трансфері желісін құру, пайдалану және дамыту жөніндегі өкілеттіктерді, сондай-ақ өзге де өкілеттіктерді беретін заңды тұлға;</w:t>
      </w:r>
    </w:p>
    <w:p>
      <w:pPr>
        <w:spacing w:after="0"/>
        <w:ind w:left="0"/>
        <w:jc w:val="both"/>
      </w:pPr>
      <w:r>
        <w:rPr>
          <w:rFonts w:ascii="Times New Roman"/>
          <w:b w:val="false"/>
          <w:i w:val="false"/>
          <w:color w:val="000000"/>
          <w:sz w:val="28"/>
        </w:rPr>
        <w:t>
      "ұлттық компоненттердің операторлары" – мүше мемлекеттердің уәкілетті органдары өздерінің еуразиялық өнеркәсіптік кооперация, субконтрактация және технологиялар трансфері желісін құру, пайдалану және дамыту жөніндегі өкілеттіктерінің бір бөлігін, сондай-ақ өзге де өкілеттіктерді беретін заңды тұлғалар;</w:t>
      </w:r>
    </w:p>
    <w:p>
      <w:pPr>
        <w:spacing w:after="0"/>
        <w:ind w:left="0"/>
        <w:jc w:val="both"/>
      </w:pPr>
      <w:r>
        <w:rPr>
          <w:rFonts w:ascii="Times New Roman"/>
          <w:b w:val="false"/>
          <w:i w:val="false"/>
          <w:color w:val="000000"/>
          <w:sz w:val="28"/>
        </w:rPr>
        <w:t>
      "жоба" – еуразиялық өнеркәсіптік кооперация, субконтрактация және технологиялар трансфері желісі (бұдан әрі – еуразиялық желі).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іс-шара(түйінді бақылау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Жауапты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I. Жобаны іске асырудың бірінші кезеңінің шеңберінде көзделген жұмыстар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Ұлттық тапсырыс беруші – үйлестірушілерді және жобаның іске асырылуын үйлестіру жөніндегі жұмыс тобының (бұдан әрі – үйлестіруші топ) құрамына қосу үшін кандидатураларды айқындау және Комиссияға ақпарат жіберу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Комиссияға белгіленген тәртіппен берілген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Ұлттық компоненттер операторларының функцияларын орындайтын ұйымдарды айқындау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компоненттердің операторларын айқындау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Үйлестіруші топтың құрамы мен үйлестіруші топ туралы ережені бекіту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топ туралы ереже мен оның құрамын бекітетін Комиссия актісі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ұлттық тапсырыс беруші – үйлестірушілер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Одақ органдарына жобаның іске асырылуы жөнінде есеп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Кеңесіне берілетін жобаның іске асырылуы жөніндегі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 тоқсаннан бастап тоқсан сайын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топ,</w:t>
            </w:r>
          </w:p>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Жоба бойынша техникалық тапсырма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xml:space="preserve">
ұлттық тапсырыс беруші – үйлестірушілер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Жоба бойынша техникалық тапсырманы орындауға желі операторын айқындау жөніндегі конкурстық рәсімдерді өткізу (</w:t>
            </w:r>
            <w:r>
              <w:rPr>
                <w:rFonts w:ascii="Times New Roman"/>
                <w:b/>
                <w:i w:val="false"/>
                <w:color w:val="000000"/>
                <w:sz w:val="20"/>
              </w:rPr>
              <w:t xml:space="preserve">Еуразиялық үкіметаралық кеңестің 2019 жылғы 1 ақпандағы </w:t>
            </w:r>
          </w:p>
          <w:p>
            <w:pPr>
              <w:spacing w:after="20"/>
              <w:ind w:left="20"/>
              <w:jc w:val="both"/>
            </w:pPr>
            <w:r>
              <w:rPr>
                <w:rFonts w:ascii="Times New Roman"/>
                <w:b/>
                <w:i w:val="false"/>
                <w:color w:val="000000"/>
                <w:sz w:val="20"/>
              </w:rPr>
              <w:t xml:space="preserve">№ 1 шешімімен бекітілген Еуразиялық экономикалық одақтың цифрлық күн тәртібі шеңберінде жобаларды іске асыру механизмдерінің </w:t>
            </w:r>
          </w:p>
          <w:p>
            <w:pPr>
              <w:spacing w:after="20"/>
              <w:ind w:left="20"/>
              <w:jc w:val="both"/>
            </w:pPr>
            <w:r>
              <w:rPr>
                <w:rFonts w:ascii="Times New Roman"/>
                <w:b/>
                <w:i w:val="false"/>
                <w:color w:val="000000"/>
                <w:sz w:val="20"/>
              </w:rPr>
              <w:t>12-тармағына сәйкес</w:t>
            </w:r>
            <w:r>
              <w:rPr>
                <w:rFonts w:ascii="Times New Roman"/>
                <w:b/>
                <w:i w:val="false"/>
                <w:color w:val="000000"/>
                <w:sz w:val="20"/>
              </w:rPr>
              <w:t>)</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операторын айқындау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Консорциум қалыптастыру, консорциум туралы келісім жасасу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консорциум туралы келісім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III – IV тоқсандар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үйлестіруші топ</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Еуразиялық желі туралы ереже әзірлеу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 туралы ереже, </w:t>
            </w:r>
          </w:p>
          <w:p>
            <w:pPr>
              <w:spacing w:after="20"/>
              <w:ind w:left="20"/>
              <w:jc w:val="both"/>
            </w:pPr>
            <w:r>
              <w:rPr>
                <w:rFonts w:ascii="Times New Roman"/>
                <w:b w:val="false"/>
                <w:i w:val="false"/>
                <w:color w:val="000000"/>
                <w:sz w:val="20"/>
              </w:rPr>
              <w:t>
қабылдау-беру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Комиссия, үйлестіруші топ, ұлттық тапсырыс беруші – үйлестірушілер</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Еуразиялық желінің ұлттық компоненттеріне және сервис-провайдерлерге қойылатын талаптарды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ұлттық компоненттеріне қойылатын талаптар, сервис-провайдерлерге қойылатын талаптар, қабылдау-беру актісі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Комиссия</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Еуразиялық желінің базалық компонентіне қойылатын талаптарды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базалық компонентіне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Комиссия</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Жобаның басқарылуын мониторингтеу құралын (ақпараттық ресурс) құру және бөлінген қол жеткізу құқықтарына сәйкес оған үйлестіруші топқа қатысушылардың қол жеткізуін қамтамасыз ету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басқарылуын мониторингтеу құралын (ақпараттық ресурс)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Өнім, қызметтер көрсету, технологиялар және оларға мүше мемлекеттер тарпынан сұраныс туралы еуразиялық желінің шаруашылық жүргізуші субъектілерінің тізілімі мен ақпараттық ресурстарға енгізілетін мәліметтерді верификациялауды қамтамасыз ету үшін ұлттық компоненттер операторларының құрылымында ұйымдық құрылымдар (каталогтау орталықтарын) құру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каталогтау орталықтарын құру хаттамалары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ұлттық тапсырыс беруші – үйлестірушілер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Мүше мемлекеттердің экспорттық әлеуетін ұлғайту мақсатында үшінші елдердің шаруашылық жүргізуші субъектілерінің еуразиялық желіге қосылу моделін әзірлеу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үйлестіруші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Комиссия актілерінің жобаларын әзірлеу, еуразиялық желінің техникалық құжаттамасын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актілері, </w:t>
            </w:r>
          </w:p>
          <w:p>
            <w:pPr>
              <w:spacing w:after="20"/>
              <w:ind w:left="20"/>
              <w:jc w:val="both"/>
            </w:pPr>
            <w:r>
              <w:rPr>
                <w:rFonts w:ascii="Times New Roman"/>
                <w:b w:val="false"/>
                <w:i w:val="false"/>
                <w:color w:val="000000"/>
                <w:sz w:val="20"/>
              </w:rPr>
              <w:t xml:space="preserve">
ақпараттық өзара іс-қимыл сипатталған техникалық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Техникалық-жұмыс бабындағы жобалау бөлігінде еуразиялық желінің базалық компонентін жасау (пайдаланушылық сервистерді құру және қосу жөніндегі әмбебап платформалық шешім)</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еуразиялық желінің базалық компонентінің прототипі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Мүше мемлекеттердің еуразиялық желіні пайдалану арқылы өнеркәсіптік кооперацияға тартылған шаруашылық жүргізуші субъектілерінің санын ұлғайту жөніндегі іс-шаралар жоспарларын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жоспарлары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тапсырыс беруші – үйлестірушілер,</w:t>
            </w:r>
          </w:p>
          <w:p>
            <w:pPr>
              <w:spacing w:after="20"/>
              <w:ind w:left="20"/>
              <w:jc w:val="both"/>
            </w:pPr>
            <w:r>
              <w:rPr>
                <w:rFonts w:ascii="Times New Roman"/>
                <w:b w:val="false"/>
                <w:i w:val="false"/>
                <w:color w:val="000000"/>
                <w:sz w:val="20"/>
              </w:rPr>
              <w:t>
ұлттық компоненттердің операторлары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II. Жобаны іске асырудың екінші кезеңінің шеңберінде көзделген жұмыстар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Мүше мемлекеттердің еуразиялық желіні пайдалану арқылы өнеркәсіптік кооперацияға тартылған шаруашылық жүргізуші субъектілерінің санын ұлғайту жөніндегі іс-шаралар жоспарларын нақтылау және іске асыру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жоспардың орындалуы және іске асырылуын түзету туралы тоқсан сайынғы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І тоқсаннан бастап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ұлттық тапсырыс беруші – үйлестірушілер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Еуразиялық желінің базалық компонентін жасау (пайдаланушылық сервистерді құру және қосу жөніндегі әмбебап платформалық шешім) және еуразиялық желінің ұлттық компонентін өрістету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дайын базалық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 – III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19.Еуразиялық желінің тұжырымдамалық жобасына сәйкес еуразиялық желінің интеграциялық компонентін әзірлеу және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компонентінің пайдалану құжаттамасы, еуразиялық желінің интеграциялық компонентінің техникалық-жұмыс бабындағы жобасының құжаттамасы,</w:t>
            </w:r>
          </w:p>
          <w:p>
            <w:pPr>
              <w:spacing w:after="20"/>
              <w:ind w:left="20"/>
              <w:jc w:val="both"/>
            </w:pPr>
            <w:r>
              <w:rPr>
                <w:rFonts w:ascii="Times New Roman"/>
                <w:b w:val="false"/>
                <w:i w:val="false"/>
                <w:color w:val="000000"/>
                <w:sz w:val="20"/>
              </w:rPr>
              <w:t>
еуразиялық желінің интеграциялық компонентінің бастапқы кодтары,</w:t>
            </w:r>
          </w:p>
          <w:p>
            <w:pPr>
              <w:spacing w:after="20"/>
              <w:ind w:left="20"/>
              <w:jc w:val="both"/>
            </w:pPr>
            <w:r>
              <w:rPr>
                <w:rFonts w:ascii="Times New Roman"/>
                <w:b w:val="false"/>
                <w:i w:val="false"/>
                <w:color w:val="000000"/>
                <w:sz w:val="20"/>
              </w:rPr>
              <w:t>
қабылдау-тапсыру сынақтарының хаттамалары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 – III тоқсандар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Еуразиялық желіні ілгерілету жоспарын әзірлеу және іске асыру. Мүше мемлекеттердің мемлекеттік билік органдары мен ұйымдары, сондай-ақ желіге өзге де қатысушылар үшін еуразиялық желіні дамыту мәселелері бойынша семинарлар мен вебинарлар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ілгерілету жоспары,</w:t>
            </w:r>
          </w:p>
          <w:p>
            <w:pPr>
              <w:spacing w:after="20"/>
              <w:ind w:left="20"/>
              <w:jc w:val="both"/>
            </w:pPr>
            <w:r>
              <w:rPr>
                <w:rFonts w:ascii="Times New Roman"/>
                <w:b w:val="false"/>
                <w:i w:val="false"/>
                <w:color w:val="000000"/>
                <w:sz w:val="20"/>
              </w:rPr>
              <w:t xml:space="preserve">
оқытуды жүргізу жоспары, оқытуды жүргізу хаттамалары </w:t>
            </w:r>
          </w:p>
          <w:p>
            <w:pPr>
              <w:spacing w:after="20"/>
              <w:ind w:left="20"/>
              <w:jc w:val="both"/>
            </w:pPr>
            <w:r>
              <w:rPr>
                <w:rFonts w:ascii="Times New Roman"/>
                <w:b w:val="false"/>
                <w:i w:val="false"/>
                <w:color w:val="000000"/>
                <w:sz w:val="20"/>
              </w:rPr>
              <w:t>(еуразиялық желіге кемінде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үйлестіруші топ, ұлттық тапсырыс беруші – үйлестірушілер,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Еуразиялық желіні, соның ішінде Одақтың цифрлық күн тәртібінің перспективалы жобаларымен (тауарларды цифрлық қадағалап отыру, электрондық ілеспе құжаттарды қолдану, цифрлық көлік дәліздері, деректер айналымын реттеу), сондай-ақ Одақтың интеграцияланған ақпараттық жүйесінің базалық ресурстарымен тоғыстыру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үйлестіруші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Желі операторы мен сервис-провайдерлер,  ұлттық компоненттердің операторлары мен сервис-провайдерлер арасында агенттік келісімдер жасасу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мен сервис-провайдерлер,  ұлттық компоненттердің операторлары мен сервис-провайдерлер арасында агенттік келісімдер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IIІ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сервис-провайдерлер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Еуразиялық желіні үшінші елдердің әріптестік трансшекаралық платформаларымен интеграциялау мүмкіндігін пысықтау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үшінші елдердің әріптестік трансшекаралық платформаларымен (үшінші елдердің кемінде 1 трансшекаралық платформасымен) интеграциялау мәселелері жөніндегі іс-шаралар жоспары,</w:t>
            </w:r>
          </w:p>
          <w:p>
            <w:pPr>
              <w:spacing w:after="20"/>
              <w:ind w:left="20"/>
              <w:jc w:val="both"/>
            </w:pPr>
            <w:r>
              <w:rPr>
                <w:rFonts w:ascii="Times New Roman"/>
                <w:b w:val="false"/>
                <w:i w:val="false"/>
                <w:color w:val="000000"/>
                <w:sz w:val="20"/>
              </w:rPr>
              <w:t xml:space="preserve">
еуразиялық желінің ұлттық компоненттерін үшінші елдердің әріптестік трансшекаралық платформаларымен (үшінші елдердің кемінде 1 трансшекаралық платформасымен) интеграциялау мәселелері жөніндегі іс-шаралар жоспары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ІІІ тоқсаннан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топ,</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Еуразиялық желінің шаруашылық жүргізуші субъектілерінің тізілімін және ақпараттық ресурстарды өнім, қызметтер көрсету, технологиялар және оларға мүше мемлекеттер тарапынан сұраныс туралы мәліметтермен толықтыру (деректердің пилоттық құрамы, сондай-ақ көрсетілген мәліметтерді верификациялау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мен ақпараттық ресурстарды өнім, қызметтер көрсету, технологиялар және оларға мүше мемлекеттер тарапынан сұраныс туралы мәліметтермен алғаш толықтыру,</w:t>
            </w:r>
          </w:p>
          <w:p>
            <w:pPr>
              <w:spacing w:after="20"/>
              <w:ind w:left="20"/>
              <w:jc w:val="both"/>
            </w:pPr>
            <w:r>
              <w:rPr>
                <w:rFonts w:ascii="Times New Roman"/>
                <w:b w:val="false"/>
                <w:i w:val="false"/>
                <w:color w:val="000000"/>
                <w:sz w:val="20"/>
              </w:rPr>
              <w:t xml:space="preserve">
көрсетілген мәліметтерді верификациялау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тапсырыс беруші – үйлестірушілер,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Еуразиялық желінің ұлттық компонентін өрістету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қабылдау-тапсыру хаттамалары,</w:t>
            </w:r>
          </w:p>
          <w:p>
            <w:pPr>
              <w:spacing w:after="20"/>
              <w:ind w:left="20"/>
              <w:jc w:val="both"/>
            </w:pPr>
            <w:r>
              <w:rPr>
                <w:rFonts w:ascii="Times New Roman"/>
                <w:b w:val="false"/>
                <w:i w:val="false"/>
                <w:color w:val="000000"/>
                <w:sz w:val="20"/>
              </w:rPr>
              <w:t>
қабылдау-тапсыру актілері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Өнеркәсіптік кооперация мен субконтрактацияның базалық сервистерін еуразиялық желінің интеграциялық компонентіне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кооперация мен субконтрактацияның базалық сервистерін еуразиялық желінің интеграциялық компонентіне қосу хаттамалары </w:t>
            </w:r>
          </w:p>
          <w:p>
            <w:pPr>
              <w:spacing w:after="20"/>
              <w:ind w:left="20"/>
              <w:jc w:val="both"/>
            </w:pPr>
            <w:r>
              <w:rPr>
                <w:rFonts w:ascii="Times New Roman"/>
                <w:b w:val="false"/>
                <w:i w:val="false"/>
                <w:color w:val="000000"/>
                <w:sz w:val="20"/>
              </w:rPr>
              <w:t>(кемінде 2 сервис)</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 Технологиялар трансферінің базалық сервистерін еуразиялық желінің интеграциялық компонентіне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 трансферінің базалық сервистерін еуразиялық желінің интеграциялық компонентіне қосу хаттамалары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Еуразиялық желінің интеграциялық компонентін және өрістетілген ұлттық компоненттерді тәжірибелік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 қабылдау-тапсыру хаттамалары,</w:t>
            </w:r>
          </w:p>
          <w:p>
            <w:pPr>
              <w:spacing w:after="20"/>
              <w:ind w:left="20"/>
              <w:jc w:val="both"/>
            </w:pPr>
            <w:r>
              <w:rPr>
                <w:rFonts w:ascii="Times New Roman"/>
                <w:b w:val="false"/>
                <w:i w:val="false"/>
                <w:color w:val="000000"/>
                <w:sz w:val="20"/>
              </w:rPr>
              <w:t>
қабылдау-тапсыру актілері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үйлестіруші топ,</w:t>
            </w:r>
          </w:p>
          <w:p>
            <w:pPr>
              <w:spacing w:after="20"/>
              <w:ind w:left="20"/>
              <w:jc w:val="both"/>
            </w:pPr>
            <w:r>
              <w:rPr>
                <w:rFonts w:ascii="Times New Roman"/>
                <w:b w:val="false"/>
                <w:i w:val="false"/>
                <w:color w:val="000000"/>
                <w:sz w:val="20"/>
              </w:rPr>
              <w:t>
ұлттық тапсырыс беруші – үйлестірушілер</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Еуразиялық желінің интеграциялық компонентін өнеркәсіптік пайдалануға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хаттамалары,</w:t>
            </w:r>
          </w:p>
          <w:p>
            <w:pPr>
              <w:spacing w:after="20"/>
              <w:ind w:left="20"/>
              <w:jc w:val="both"/>
            </w:pPr>
            <w:r>
              <w:rPr>
                <w:rFonts w:ascii="Times New Roman"/>
                <w:b w:val="false"/>
                <w:i w:val="false"/>
                <w:color w:val="000000"/>
                <w:sz w:val="20"/>
              </w:rPr>
              <w:t>
қабылдау-тапсыру актілері,</w:t>
            </w:r>
          </w:p>
          <w:p>
            <w:pPr>
              <w:spacing w:after="20"/>
              <w:ind w:left="20"/>
              <w:jc w:val="both"/>
            </w:pPr>
            <w:r>
              <w:rPr>
                <w:rFonts w:ascii="Times New Roman"/>
                <w:b w:val="false"/>
                <w:i w:val="false"/>
                <w:color w:val="000000"/>
                <w:sz w:val="20"/>
              </w:rPr>
              <w:t>
еуразиялық желінің интеграциялық компонентін өнеркәсіптік пайдалануға қосу туралы хаттама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үйлестіруші топ,</w:t>
            </w:r>
          </w:p>
          <w:p>
            <w:pPr>
              <w:spacing w:after="20"/>
              <w:ind w:left="20"/>
              <w:jc w:val="both"/>
            </w:pPr>
            <w:r>
              <w:rPr>
                <w:rFonts w:ascii="Times New Roman"/>
                <w:b w:val="false"/>
                <w:i w:val="false"/>
                <w:color w:val="000000"/>
                <w:sz w:val="20"/>
              </w:rPr>
              <w:t>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Еуразиялық желіні, соның ішінде Одақтың цифрлық күн тәртібінің перспективалы жобаларымен (тауарларды цифрлық қадағалап отыру, электрондық ілеспе құжаттарды қолдану, цифрлық көлік дәліздері, деректер айналымын реттеу), сондай-ақ Одақтың интеграцияланған ақпараттық жүйесінің базалық ресурстарымен тоғыстыру мақсатында іс-шаралар жоспарын іске асыру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жоспарының орындалуы және іске асырылуын түзету туралы тоқсан сайынғы есеп,</w:t>
            </w:r>
          </w:p>
          <w:p>
            <w:pPr>
              <w:spacing w:after="20"/>
              <w:ind w:left="20"/>
              <w:jc w:val="both"/>
            </w:pPr>
            <w:r>
              <w:rPr>
                <w:rFonts w:ascii="Times New Roman"/>
                <w:b w:val="false"/>
                <w:i w:val="false"/>
                <w:color w:val="000000"/>
                <w:sz w:val="20"/>
              </w:rPr>
              <w:t>
сынақтарды қабылдау-тапсыру хаттамасы, қабылдау-тапсыру актісі</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үйлестіруші топ</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Еуразиялық желінің интеграциялық компонентін және еуразиялық желінің ұлттық компоненттерінің интеграцияланған сервистерін тәжірибелік пайдалану нәтижелері бойынша еуразиялық желіні пысықтау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пысықталған сервистері мен құралдары,</w:t>
            </w:r>
          </w:p>
          <w:p>
            <w:pPr>
              <w:spacing w:after="20"/>
              <w:ind w:left="20"/>
              <w:jc w:val="both"/>
            </w:pPr>
            <w:r>
              <w:rPr>
                <w:rFonts w:ascii="Times New Roman"/>
                <w:b w:val="false"/>
                <w:i w:val="false"/>
                <w:color w:val="000000"/>
                <w:sz w:val="20"/>
              </w:rPr>
              <w:t>
еуразиялық желіге арналған техникалық құжаттаманың пысықталған жиынтығы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Мәліметтерді ұсынудың бірізділігін қамтамасыз ету мақсатында ұлттық анықтамалықтар мен сыныптауыштарды ескере отырып, еуразиялық желінің біріңғай тізілімінің жазбаларын сипаттау әдіснамасын әзірлеуді қоса алғанда, әкімшілендіру, техникалық және консультациялық қолдау қызметтерін ұйымдастыру, сондай-ақ каталогтау орталықтарының қызметін қамтамасыз ету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анықтамалықтары мен сыныптауышларының өтпелі кілттерін (қызмет және өнім түрлерін) еуразиялық желіде пайдаланылатын анықтамалықтар мен сыныптауыштарға сәйкес келтіру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III – IV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тапсырыс беруші – үйлестірушілер, ұлттық компоненттердің операторлары,</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желі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Еуразиялық желінің ұлттық компоненттерінің қолданыстағы және құрылатын сервистерін өнеркәсіптік кооперация және субконтрактация сервистерінің базалық тізбесіне сәйкес жоба бойынша еуразиялық желінің интеграциялық компонентіне қосу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интеграцияланған сервистерін сынау хаттамалары,</w:t>
            </w:r>
          </w:p>
          <w:p>
            <w:pPr>
              <w:spacing w:after="20"/>
              <w:ind w:left="20"/>
              <w:jc w:val="both"/>
            </w:pPr>
            <w:r>
              <w:rPr>
                <w:rFonts w:ascii="Times New Roman"/>
                <w:b w:val="false"/>
                <w:i w:val="false"/>
                <w:color w:val="000000"/>
                <w:sz w:val="20"/>
              </w:rPr>
              <w:t xml:space="preserve">
сервистерді пайдалануға беру актілері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IV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желі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Еуразиялық желінің ұлттық компоненттерінің қолданыстағы және құрылатын сервистерін технологиялар трансфері сервистерінің базалық тізбесіне сәйкес жоба бойынша еуразиялық желінің интеграциялық компонентіне қосу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интеграцияланған сервистерін сынау хаттамалары,</w:t>
            </w:r>
          </w:p>
          <w:p>
            <w:pPr>
              <w:spacing w:after="20"/>
              <w:ind w:left="20"/>
              <w:jc w:val="both"/>
            </w:pPr>
            <w:r>
              <w:rPr>
                <w:rFonts w:ascii="Times New Roman"/>
                <w:b w:val="false"/>
                <w:i w:val="false"/>
                <w:color w:val="000000"/>
                <w:sz w:val="20"/>
              </w:rPr>
              <w:t xml:space="preserve">
сервистерді пайдалануға беру актілері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желі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Ұлттық компоненттердің өнеркәсіптік кооперация және субконтрактация сервистерін еуразиялық желіге қосу жөніндегі іс-шаралар жоспарын әзірлеу және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(іске асыру мерзімдері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үйлестіруші топ,</w:t>
            </w:r>
          </w:p>
          <w:p>
            <w:pPr>
              <w:spacing w:after="20"/>
              <w:ind w:left="20"/>
              <w:jc w:val="both"/>
            </w:pPr>
            <w:r>
              <w:rPr>
                <w:rFonts w:ascii="Times New Roman"/>
                <w:b w:val="false"/>
                <w:i w:val="false"/>
                <w:color w:val="000000"/>
                <w:sz w:val="20"/>
              </w:rPr>
              <w:t>
ұлттық тапсырыс беруші – үйлестірушілер,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Ұлттық компоненттердің технологиялар трансфері сервистерін еуразиялық желіге қосу жөніндегі іс-шаралар жоспарын әзірлеу және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жоспары (іске асыру мерзімдері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үйлестіруші топ,</w:t>
            </w:r>
          </w:p>
          <w:p>
            <w:pPr>
              <w:spacing w:after="20"/>
              <w:ind w:left="20"/>
              <w:jc w:val="both"/>
            </w:pPr>
            <w:r>
              <w:rPr>
                <w:rFonts w:ascii="Times New Roman"/>
                <w:b w:val="false"/>
                <w:i w:val="false"/>
                <w:color w:val="000000"/>
                <w:sz w:val="20"/>
              </w:rPr>
              <w:t>
ұлттық тапсырыс беруші – үйлестірушілер,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Еуразиялық желі шеңберінде мүше мемлекеттердегі өнеркәсіптік кооперацияны, субконтрактацияны және технологиялар трансферін сипаттайтын деректерді мониторингтеу мен талдау тәсілдерін (ел, сала, уақыт және басқа да бөліністерде) әзірлеу және іске асыру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 шеңберінде өнеркәсіптік кооперация, субконтрактация және технологиялар трансфері туралы деректерді мониторингтеу мен талдау регламенті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топ,</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Еуразиялық желіні тәжірибелік пайдалану қорытындысы бойынша еуразиялық желінің ұлттық компоненттері мен сервис-провайдерлерге қойылатын талаптарды нақтылау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желінің ұлттық компоненттеріне қойылатын нақтыланған талаптар, </w:t>
            </w:r>
          </w:p>
          <w:p>
            <w:pPr>
              <w:spacing w:after="20"/>
              <w:ind w:left="20"/>
              <w:jc w:val="both"/>
            </w:pPr>
            <w:r>
              <w:rPr>
                <w:rFonts w:ascii="Times New Roman"/>
                <w:b w:val="false"/>
                <w:i w:val="false"/>
                <w:color w:val="000000"/>
                <w:sz w:val="20"/>
              </w:rPr>
              <w:t xml:space="preserve">
сервис-провайдерлерге қойылатын нақтыланған талаптар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Еуразиялық желіні өнеркәсіптік пайдалану қорытындысы бойынша еуразиялық желі туралы ережеге өзгерістер енгізу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 туралы жаңартылған ереже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желі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Жобаның жоспарланған нәтижелеріне қол жеткізілуін бағалау. Жобаның іске асырылу қорытындыларын шығару және жобаны одан әрі дамыту жөніндегі ұсыныстары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нәтижелерге қол жеткізілуін бағалау отырып, жобаны іске асыру жөніндегі есеп, еуразиялық желіні дамыту және жетілдіру жөніндегі ұсыныстар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топ,</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Комиссия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