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503b" w14:textId="9ab50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өнеркәсіптік кооперация, субконтрактация және технологиялар трансфері желісі" жобасын іске асыру туралы</w:t>
      </w:r>
    </w:p>
    <w:p>
      <w:pPr>
        <w:spacing w:after="0"/>
        <w:ind w:left="0"/>
        <w:jc w:val="both"/>
      </w:pPr>
      <w:r>
        <w:rPr>
          <w:rFonts w:ascii="Times New Roman"/>
          <w:b w:val="false"/>
          <w:i w:val="false"/>
          <w:color w:val="000000"/>
          <w:sz w:val="28"/>
        </w:rPr>
        <w:t>Еуразиялық үкіметаралық кеңестің 2019 жылғы 30 сәуірдегі № 2 шешімі.</w:t>
      </w:r>
    </w:p>
    <w:p>
      <w:pPr>
        <w:spacing w:after="0"/>
        <w:ind w:left="0"/>
        <w:jc w:val="both"/>
      </w:pPr>
      <w:r>
        <w:rPr>
          <w:rFonts w:ascii="Times New Roman"/>
          <w:b w:val="false"/>
          <w:i w:val="false"/>
          <w:color w:val="000000"/>
          <w:sz w:val="28"/>
        </w:rPr>
        <w:t xml:space="preserve">
      Жоғары Еуразиялық экономикалық кеңестің 2017 жылғы 11 қазандағы № 12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2025 жылға дейінгі цифрлық күн тәртібін іске асырудың негізгі бағыттарын, Еуразиялық үкіметаралық кеңестің 2015 жылғы 8 қыркүйектегі № 9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Өнеркәсіптік ынтымақтастықтың негізгі бағыттарын іске асыру мақсатында, Еуразиялық үкіметаралық кеңестің 2019 жылғы 1 ақпандағы №1 шешімімен бекітілген Еуразиялық экономикалық одақтың цифрлық күн тәртібі шеңберіндегі жобаларды іске асыру механизмдеріне сәйкес, көрсетілген механизмдердің 6 және 7-тармақтарына сәйкес ақпараттық материал ретінде ұсынылған құжаттар пакетінің негізінде, "Еуразиялық өнеркәсіптік кооперация, субконтрактация және технологиялар трансфері желісі" жобасын іске асыруға Еуразиялық экономикалық одаққа мүше мемлекеттердің мүдделілігін ескере отырып, Еуразиялық үкіметаралық кеңес ш е ш т і:</w:t>
      </w:r>
    </w:p>
    <w:bookmarkStart w:name="z1" w:id="0"/>
    <w:p>
      <w:pPr>
        <w:spacing w:after="0"/>
        <w:ind w:left="0"/>
        <w:jc w:val="both"/>
      </w:pPr>
      <w:r>
        <w:rPr>
          <w:rFonts w:ascii="Times New Roman"/>
          <w:b w:val="false"/>
          <w:i w:val="false"/>
          <w:color w:val="000000"/>
          <w:sz w:val="28"/>
        </w:rPr>
        <w:t>
      1. "Еуразиялық өнеркәсіптік кооперация, субконтрактация және технологиялар трансфері желісі" жобасын (бұдан әрі – жоба) іске асыру басталсын.</w:t>
      </w:r>
    </w:p>
    <w:bookmarkEnd w:id="0"/>
    <w:bookmarkStart w:name="z2" w:id="1"/>
    <w:p>
      <w:pPr>
        <w:spacing w:after="0"/>
        <w:ind w:left="0"/>
        <w:jc w:val="both"/>
      </w:pPr>
      <w:r>
        <w:rPr>
          <w:rFonts w:ascii="Times New Roman"/>
          <w:b w:val="false"/>
          <w:i w:val="false"/>
          <w:color w:val="000000"/>
          <w:sz w:val="28"/>
        </w:rPr>
        <w:t xml:space="preserve">
      2. Қоса беріліп отырған "Еуразиялық өнеркәсіптік кооперация, субконтрактация және технологиялар трансфері желісі" жобасының </w:t>
      </w:r>
      <w:r>
        <w:rPr>
          <w:rFonts w:ascii="Times New Roman"/>
          <w:b w:val="false"/>
          <w:i w:val="false"/>
          <w:color w:val="000000"/>
          <w:sz w:val="28"/>
        </w:rPr>
        <w:t>паспорты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3. Мыналар:</w:t>
      </w:r>
    </w:p>
    <w:bookmarkEnd w:id="2"/>
    <w:p>
      <w:pPr>
        <w:spacing w:after="0"/>
        <w:ind w:left="0"/>
        <w:jc w:val="both"/>
      </w:pPr>
      <w:r>
        <w:rPr>
          <w:rFonts w:ascii="Times New Roman"/>
          <w:b w:val="false"/>
          <w:i w:val="false"/>
          <w:color w:val="000000"/>
          <w:sz w:val="28"/>
        </w:rPr>
        <w:t>
      жобаны іске асыруға Еуразиялық экономикалық одаққа мүше мемлекеттердің барлығы қатысады;</w:t>
      </w:r>
    </w:p>
    <w:p>
      <w:pPr>
        <w:spacing w:after="0"/>
        <w:ind w:left="0"/>
        <w:jc w:val="both"/>
      </w:pPr>
      <w:r>
        <w:rPr>
          <w:rFonts w:ascii="Times New Roman"/>
          <w:b w:val="false"/>
          <w:i w:val="false"/>
          <w:color w:val="000000"/>
          <w:sz w:val="28"/>
        </w:rPr>
        <w:t>
      жобаны 2019 – 2020 жылдары Еуразиялық экономикалық комиссия іске асыратын іс-шаралар бөлігінде қаржыландыру цифрлық күн тәртібін іске асыруға жұмсалатын шығыстар шеңберінде Еуразиялық экономикалық одақтың интеграцияланған ақпараттық жүйесін құруға, оның жұмыс істеуін қамтамасыз етуге және дамытуға көзделген Еуразиялық экономикалық одақ бюджетінің қаражаты есебінен жүзеге асырылады деп белгіленсін.</w:t>
      </w:r>
    </w:p>
    <w:bookmarkStart w:name="z4" w:id="3"/>
    <w:p>
      <w:pPr>
        <w:spacing w:after="0"/>
        <w:ind w:left="0"/>
        <w:jc w:val="both"/>
      </w:pPr>
      <w:r>
        <w:rPr>
          <w:rFonts w:ascii="Times New Roman"/>
          <w:b w:val="false"/>
          <w:i w:val="false"/>
          <w:color w:val="000000"/>
          <w:sz w:val="28"/>
        </w:rPr>
        <w:t>
      4. Еуразиялық экономикалық комиссия:</w:t>
      </w:r>
    </w:p>
    <w:bookmarkEnd w:id="3"/>
    <w:p>
      <w:pPr>
        <w:spacing w:after="0"/>
        <w:ind w:left="0"/>
        <w:jc w:val="both"/>
      </w:pPr>
      <w:r>
        <w:rPr>
          <w:rFonts w:ascii="Times New Roman"/>
          <w:b w:val="false"/>
          <w:i w:val="false"/>
          <w:color w:val="000000"/>
          <w:sz w:val="28"/>
        </w:rPr>
        <w:t>
      жобаны үйлестіру жөніндегі жұмыс тобының құрамын және оның басшысын бекітсін;</w:t>
      </w:r>
    </w:p>
    <w:p>
      <w:pPr>
        <w:spacing w:after="0"/>
        <w:ind w:left="0"/>
        <w:jc w:val="both"/>
      </w:pPr>
      <w:r>
        <w:rPr>
          <w:rFonts w:ascii="Times New Roman"/>
          <w:b w:val="false"/>
          <w:i w:val="false"/>
          <w:color w:val="000000"/>
          <w:sz w:val="28"/>
        </w:rPr>
        <w:t>
      жобаның техникалық тапсырмасын бекітсін.</w:t>
      </w:r>
    </w:p>
    <w:bookmarkStart w:name="z5" w:id="4"/>
    <w:p>
      <w:pPr>
        <w:spacing w:after="0"/>
        <w:ind w:left="0"/>
        <w:jc w:val="both"/>
      </w:pPr>
      <w:r>
        <w:rPr>
          <w:rFonts w:ascii="Times New Roman"/>
          <w:b w:val="false"/>
          <w:i w:val="false"/>
          <w:color w:val="000000"/>
          <w:sz w:val="28"/>
        </w:rPr>
        <w:t>
      5. Еуразиялық экономикалық одаққа мүше мемлекеттер бір ай мерзімде:</w:t>
      </w:r>
    </w:p>
    <w:bookmarkEnd w:id="4"/>
    <w:p>
      <w:pPr>
        <w:spacing w:after="0"/>
        <w:ind w:left="0"/>
        <w:jc w:val="both"/>
      </w:pPr>
      <w:r>
        <w:rPr>
          <w:rFonts w:ascii="Times New Roman"/>
          <w:b w:val="false"/>
          <w:i w:val="false"/>
          <w:color w:val="000000"/>
          <w:sz w:val="28"/>
        </w:rPr>
        <w:t>
      жобаны іске асыруға жауапты уәкілетті органдарды (ұйымдарды) айқындасын және олар туралы Еуразиялық экономикалық комиссияны хабардар етсін;</w:t>
      </w:r>
    </w:p>
    <w:p>
      <w:pPr>
        <w:spacing w:after="0"/>
        <w:ind w:left="0"/>
        <w:jc w:val="both"/>
      </w:pPr>
      <w:r>
        <w:rPr>
          <w:rFonts w:ascii="Times New Roman"/>
          <w:b w:val="false"/>
          <w:i w:val="false"/>
          <w:color w:val="000000"/>
          <w:sz w:val="28"/>
        </w:rPr>
        <w:t>
      жобаны үйлестіру жөніндегі жұмыс тобының құрамына енгізу үшін кандидатураларды Еуразиялық экономикалық комиссияға ұсынсын;</w:t>
      </w:r>
    </w:p>
    <w:p>
      <w:pPr>
        <w:spacing w:after="0"/>
        <w:ind w:left="0"/>
        <w:jc w:val="both"/>
      </w:pPr>
      <w:r>
        <w:rPr>
          <w:rFonts w:ascii="Times New Roman"/>
          <w:b w:val="false"/>
          <w:i w:val="false"/>
          <w:color w:val="000000"/>
          <w:sz w:val="28"/>
        </w:rPr>
        <w:t>
      Еуразиялық өнеркәсіптік кооперация, субконтрактация және технологиялар трансфері желісі ұлттық компоненттерінің операторларын айқындасын және олар туралы Еуразиялық экономикалық комиссияны хабардар етсін.</w:t>
      </w:r>
    </w:p>
    <w:bookmarkStart w:name="z6" w:id="5"/>
    <w:p>
      <w:pPr>
        <w:spacing w:after="0"/>
        <w:ind w:left="0"/>
        <w:jc w:val="both"/>
      </w:pPr>
      <w:r>
        <w:rPr>
          <w:rFonts w:ascii="Times New Roman"/>
          <w:b w:val="false"/>
          <w:i w:val="false"/>
          <w:color w:val="000000"/>
          <w:sz w:val="28"/>
        </w:rPr>
        <w:t>
      6. Еуразиялық экономикалық одаққа мүше мемлекеттер жұмыс істеп тұрған және құрылатын ұлттық компоненттердің сервистерін дамытуды және оларды Еуразиялық өнеркәсіптік кооперация, субконтрактация және технологиялар трансфері желісіне қосуды қаржыландыруға грант алу үшін құжаттарды Еуразиялық тұрақтандыру және даму қорына ұсыну туралы мәселені зерделесін.</w:t>
      </w:r>
    </w:p>
    <w:bookmarkEnd w:id="5"/>
    <w:bookmarkStart w:name="z7" w:id="6"/>
    <w:p>
      <w:pPr>
        <w:spacing w:after="0"/>
        <w:ind w:left="0"/>
        <w:jc w:val="both"/>
      </w:pPr>
      <w:r>
        <w:rPr>
          <w:rFonts w:ascii="Times New Roman"/>
          <w:b w:val="false"/>
          <w:i w:val="false"/>
          <w:color w:val="000000"/>
          <w:sz w:val="28"/>
        </w:rPr>
        <w:t>
      7. Осы Шешім Еуразиялық экономикалық одақтың ресми сайтында жарияланған күнінен бастап күшіне енеді.</w:t>
      </w:r>
    </w:p>
    <w:bookmarkEnd w:id="6"/>
    <w:p>
      <w:pPr>
        <w:spacing w:after="0"/>
        <w:ind w:left="0"/>
        <w:jc w:val="left"/>
      </w:pPr>
      <w:r>
        <w:rPr>
          <w:rFonts w:ascii="Times New Roman"/>
          <w:b/>
          <w:i w:val="false"/>
          <w:color w:val="000000"/>
        </w:rPr>
        <w:t xml:space="preserve"> Еуразиялық үкіметаралық кеңес мүшелері:</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Армения</w:t>
            </w:r>
          </w:p>
          <w:p>
            <w:pPr>
              <w:spacing w:after="20"/>
              <w:ind w:left="20"/>
              <w:jc w:val="both"/>
            </w:pP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p>
            <w:pPr>
              <w:spacing w:after="20"/>
              <w:ind w:left="20"/>
              <w:jc w:val="both"/>
            </w:pP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p>
          <w:p>
            <w:pPr>
              <w:spacing w:after="20"/>
              <w:ind w:left="20"/>
              <w:jc w:val="both"/>
            </w:pP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p>
          <w:p>
            <w:pPr>
              <w:spacing w:after="20"/>
              <w:ind w:left="20"/>
              <w:jc w:val="both"/>
            </w:pP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p>
          <w:p>
            <w:pPr>
              <w:spacing w:after="20"/>
              <w:ind w:left="20"/>
              <w:jc w:val="both"/>
            </w:pPr>
            <w:r>
              <w:rPr>
                <w:rFonts w:ascii="Times New Roman"/>
                <w:b w:val="false"/>
                <w:i/>
                <w:color w:val="000000"/>
                <w:sz w:val="20"/>
              </w:rPr>
              <w:t>Федерациясынан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үкіметаралық</w:t>
            </w:r>
            <w:r>
              <w:br/>
            </w:r>
            <w:r>
              <w:rPr>
                <w:rFonts w:ascii="Times New Roman"/>
                <w:b w:val="false"/>
                <w:i w:val="false"/>
                <w:color w:val="000000"/>
                <w:sz w:val="20"/>
              </w:rPr>
              <w:t xml:space="preserve">кеңестің </w:t>
            </w:r>
            <w:r>
              <w:br/>
            </w:r>
            <w:r>
              <w:rPr>
                <w:rFonts w:ascii="Times New Roman"/>
                <w:b w:val="false"/>
                <w:i w:val="false"/>
                <w:color w:val="000000"/>
                <w:sz w:val="20"/>
              </w:rPr>
              <w:t xml:space="preserve">2019 жылғы 30 сәуірдегі  </w:t>
            </w:r>
            <w:r>
              <w:br/>
            </w:r>
            <w:r>
              <w:rPr>
                <w:rFonts w:ascii="Times New Roman"/>
                <w:b w:val="false"/>
                <w:i w:val="false"/>
                <w:color w:val="000000"/>
                <w:sz w:val="20"/>
              </w:rPr>
              <w:t>№ 2 шешімімен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"Еуразиялық өнеркәсіптік кооперация, субконтрактация және технологиялар трансфері желісі"  жобасының</w:t>
      </w:r>
      <w:r>
        <w:br/>
      </w:r>
      <w:r>
        <w:rPr>
          <w:rFonts w:ascii="Times New Roman"/>
          <w:b/>
          <w:i w:val="false"/>
          <w:color w:val="000000"/>
        </w:rPr>
        <w:t>ПАСПОРТЫ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кооперацияның, субконтрактацияның және технологиялар трансферінің Еуразиялық желісі  (бұдан әрі – Еуразиялық желі)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мақсаттары мен негізгі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w:t>
            </w:r>
          </w:p>
          <w:p>
            <w:pPr>
              <w:spacing w:after="20"/>
              <w:ind w:left="20"/>
              <w:jc w:val="both"/>
            </w:pPr>
            <w:r>
              <w:rPr>
                <w:rFonts w:ascii="Times New Roman"/>
                <w:b w:val="false"/>
                <w:i w:val="false"/>
                <w:color w:val="000000"/>
                <w:sz w:val="20"/>
              </w:rPr>
              <w:t>
өнеркәсіптік кооперация, субконтрактация және технологиялар трансфері мақсатында Еуразиялық экономикалық одаққа мүше мемлекеттердің (бұдан әрі тиісінше – Одақ, мүше мемлекеттер) шаруашылық жүргізуші субъектілерінің өзара іс-қимылын қамтамасыз ету үшін цифрлық экожүйе құру;</w:t>
            </w:r>
          </w:p>
          <w:p>
            <w:pPr>
              <w:spacing w:after="20"/>
              <w:ind w:left="20"/>
              <w:jc w:val="both"/>
            </w:pPr>
            <w:r>
              <w:rPr>
                <w:rFonts w:ascii="Times New Roman"/>
                <w:b w:val="false"/>
                <w:i w:val="false"/>
                <w:color w:val="000000"/>
                <w:sz w:val="20"/>
              </w:rPr>
              <w:t>
ірі өндірушілердің өндірістік тізбегіне шағын және орта кәсіпорындарды тарту;</w:t>
            </w:r>
          </w:p>
          <w:p>
            <w:pPr>
              <w:spacing w:after="20"/>
              <w:ind w:left="20"/>
              <w:jc w:val="both"/>
            </w:pPr>
            <w:r>
              <w:rPr>
                <w:rFonts w:ascii="Times New Roman"/>
                <w:b w:val="false"/>
                <w:i w:val="false"/>
                <w:color w:val="000000"/>
                <w:sz w:val="20"/>
              </w:rPr>
              <w:t>
мемлекеттік билік органдарының толассыз процестері мен цифрлық сервистеріне шаруашылық жүргізуші субъектілердің және мүше мемлекеттердің мұқтаждарын қанағаттандыру үшін жағдайлар жасау;</w:t>
            </w:r>
          </w:p>
          <w:p>
            <w:pPr>
              <w:spacing w:after="20"/>
              <w:ind w:left="20"/>
              <w:jc w:val="both"/>
            </w:pPr>
            <w:r>
              <w:rPr>
                <w:rFonts w:ascii="Times New Roman"/>
                <w:b w:val="false"/>
                <w:i w:val="false"/>
                <w:color w:val="000000"/>
                <w:sz w:val="20"/>
              </w:rPr>
              <w:t>
өндірістік тізбектерді модельдеу және өндірістік қуаттарды оңтайлы жүктеу;</w:t>
            </w:r>
          </w:p>
          <w:p>
            <w:pPr>
              <w:spacing w:after="20"/>
              <w:ind w:left="20"/>
              <w:jc w:val="both"/>
            </w:pPr>
            <w:r>
              <w:rPr>
                <w:rFonts w:ascii="Times New Roman"/>
                <w:b w:val="false"/>
                <w:i w:val="false"/>
                <w:color w:val="000000"/>
                <w:sz w:val="20"/>
              </w:rPr>
              <w:t>
технологиялар трансфері жолымен инновациялық процестерді ынталандыру;</w:t>
            </w:r>
          </w:p>
          <w:p>
            <w:pPr>
              <w:spacing w:after="20"/>
              <w:ind w:left="20"/>
              <w:jc w:val="both"/>
            </w:pPr>
            <w:r>
              <w:rPr>
                <w:rFonts w:ascii="Times New Roman"/>
                <w:b w:val="false"/>
                <w:i w:val="false"/>
                <w:color w:val="000000"/>
                <w:sz w:val="20"/>
              </w:rPr>
              <w:t>
мүше мемлекеттер мен үшінші елдердің халықаралық цифрлық экожүйелерін пайдаланып, өнеркәсіп субъектілерінің өнімін ілгерілету мүмкіндігі болып табылады.</w:t>
            </w:r>
          </w:p>
          <w:p>
            <w:pPr>
              <w:spacing w:after="20"/>
              <w:ind w:left="20"/>
              <w:jc w:val="both"/>
            </w:pPr>
            <w:r>
              <w:rPr>
                <w:rFonts w:ascii="Times New Roman"/>
                <w:b w:val="false"/>
                <w:i w:val="false"/>
                <w:color w:val="000000"/>
                <w:sz w:val="20"/>
              </w:rPr>
              <w:t>
Жобаны іске асыру нәтижесінде мүше мемлекеттер сервистерінің аумақ бойынша бөлінген жиынтығына (оның ішінде ұлттық компоненттердің кооперациясы, субконтрактациясы және технологиялар трансфері сервистерін енгізу есебінен) және шаруашылық қызметін жүргізу үшін қажетті және өнеркәсіптік кооперация мен технологиялар трансферін қолдауды қамтамасыз ететін шоғырландырылған ақпараттың ауқымды көлеміне қол жетімділік қамтамасыз етілетін болады.</w:t>
            </w:r>
          </w:p>
          <w:p>
            <w:pPr>
              <w:spacing w:after="20"/>
              <w:ind w:left="20"/>
              <w:jc w:val="both"/>
            </w:pPr>
            <w:r>
              <w:rPr>
                <w:rFonts w:ascii="Times New Roman"/>
                <w:b w:val="false"/>
                <w:i w:val="false"/>
                <w:color w:val="000000"/>
                <w:sz w:val="20"/>
              </w:rPr>
              <w:t xml:space="preserve">
Еуразиялық желіні құру мүше мемлекеттер мен Еуразиялық экономикалық комиссияның кросс-салалық процестерді жүргізу және мүше мемлекеттердің аумақтарында шаруашылық жүргізуші субъектілердің цифрлық кооперациясын қолдау құралдарын пайдалану кезінде бірлескен міндеттерді шешу процесінде синергетикалық тиімділікке қол жеткізуді, бизнестің цифрлық күн тәртібіне енгізуді кеңейтуді және цифрлық алшақтықты жеңуді, сондай-ақ қолайлы іскерлік ортаны дамытуды болжайды. </w:t>
            </w:r>
          </w:p>
          <w:p>
            <w:pPr>
              <w:spacing w:after="20"/>
              <w:ind w:left="20"/>
              <w:jc w:val="both"/>
            </w:pPr>
            <w:r>
              <w:rPr>
                <w:rFonts w:ascii="Times New Roman"/>
                <w:b w:val="false"/>
                <w:i w:val="false"/>
                <w:color w:val="000000"/>
                <w:sz w:val="20"/>
              </w:rPr>
              <w:t>
Жобаның негізгі нәтижелері:</w:t>
            </w:r>
          </w:p>
          <w:p>
            <w:pPr>
              <w:spacing w:after="20"/>
              <w:ind w:left="20"/>
              <w:jc w:val="both"/>
            </w:pPr>
            <w:r>
              <w:rPr>
                <w:rFonts w:ascii="Times New Roman"/>
                <w:b w:val="false"/>
                <w:i w:val="false"/>
                <w:color w:val="000000"/>
                <w:sz w:val="20"/>
              </w:rPr>
              <w:t>
жобаны іске асыру жөніндегі жоғары деңгейлі жоспарды (бұдан әрі – жоғары деңгейлі жоспар) орындау;</w:t>
            </w:r>
          </w:p>
          <w:p>
            <w:pPr>
              <w:spacing w:after="20"/>
              <w:ind w:left="20"/>
              <w:jc w:val="both"/>
            </w:pPr>
            <w:r>
              <w:rPr>
                <w:rFonts w:ascii="Times New Roman"/>
                <w:b w:val="false"/>
                <w:i w:val="false"/>
                <w:color w:val="000000"/>
                <w:sz w:val="20"/>
              </w:rPr>
              <w:t>
Еуразиялық желінің базалық және интеграциялық компоненттерін құру болып табылады.</w:t>
            </w:r>
          </w:p>
          <w:p>
            <w:pPr>
              <w:spacing w:after="20"/>
              <w:ind w:left="20"/>
              <w:jc w:val="both"/>
            </w:pPr>
            <w:r>
              <w:rPr>
                <w:rFonts w:ascii="Times New Roman"/>
                <w:b w:val="false"/>
                <w:i w:val="false"/>
                <w:color w:val="000000"/>
                <w:sz w:val="20"/>
              </w:rPr>
              <w:t>
Базалық сценарий бойынша мынадай көрсеткіштерге қол жеткізілуге тиіс.</w:t>
            </w:r>
          </w:p>
          <w:p>
            <w:pPr>
              <w:spacing w:after="20"/>
              <w:ind w:left="20"/>
              <w:jc w:val="both"/>
            </w:pPr>
            <w:r>
              <w:rPr>
                <w:rFonts w:ascii="Times New Roman"/>
                <w:b w:val="false"/>
                <w:i w:val="false"/>
                <w:color w:val="000000"/>
                <w:sz w:val="20"/>
              </w:rPr>
              <w:t>
Еуразиялық желінің шаруашылық жүргізуші субъектілерінің тізіліміне енгізілген шаруашылық жүргізуші субъектілердің саны (базалық сценарий):</w:t>
            </w:r>
          </w:p>
          <w:p>
            <w:pPr>
              <w:spacing w:after="20"/>
              <w:ind w:left="20"/>
              <w:jc w:val="both"/>
            </w:pPr>
            <w:r>
              <w:rPr>
                <w:rFonts w:ascii="Times New Roman"/>
                <w:b w:val="false"/>
                <w:i w:val="false"/>
                <w:color w:val="000000"/>
                <w:sz w:val="20"/>
              </w:rPr>
              <w:t>
I кезең (2019 ж. ІІ тоқсан – 2019 ж. IV тоқсан) – 17,3 мың шаруашылық жүргізуші субъект;</w:t>
            </w:r>
          </w:p>
          <w:p>
            <w:pPr>
              <w:spacing w:after="20"/>
              <w:ind w:left="20"/>
              <w:jc w:val="both"/>
            </w:pPr>
            <w:r>
              <w:rPr>
                <w:rFonts w:ascii="Times New Roman"/>
                <w:b w:val="false"/>
                <w:i w:val="false"/>
                <w:color w:val="000000"/>
                <w:sz w:val="20"/>
              </w:rPr>
              <w:t>
II кезең (2020 ж. I тоқсан – 2020 ж. IV тоқсан) – 64,3 мың шаруашылық жүргізуші субъект;</w:t>
            </w:r>
          </w:p>
          <w:p>
            <w:pPr>
              <w:spacing w:after="20"/>
              <w:ind w:left="20"/>
              <w:jc w:val="both"/>
            </w:pPr>
            <w:r>
              <w:rPr>
                <w:rFonts w:ascii="Times New Roman"/>
                <w:b w:val="false"/>
                <w:i w:val="false"/>
                <w:color w:val="000000"/>
                <w:sz w:val="20"/>
              </w:rPr>
              <w:t>
2024 жылы – 134,7 мың шаруашылық жүргізуші субъект.</w:t>
            </w:r>
          </w:p>
          <w:p>
            <w:pPr>
              <w:spacing w:after="20"/>
              <w:ind w:left="20"/>
              <w:jc w:val="both"/>
            </w:pPr>
            <w:r>
              <w:rPr>
                <w:rFonts w:ascii="Times New Roman"/>
                <w:b w:val="false"/>
                <w:i w:val="false"/>
                <w:color w:val="000000"/>
                <w:sz w:val="20"/>
              </w:rPr>
              <w:t>
Ақпараттық ресурстардағы өнім, көрсетілетін қызметтер, технологиялар бірліктерінің саны (өнім, қызметтер, технологиялар, сұраныс туралы мәліметтер) (базалық сценарий):</w:t>
            </w:r>
          </w:p>
          <w:p>
            <w:pPr>
              <w:spacing w:after="20"/>
              <w:ind w:left="20"/>
              <w:jc w:val="both"/>
            </w:pPr>
            <w:r>
              <w:rPr>
                <w:rFonts w:ascii="Times New Roman"/>
                <w:b w:val="false"/>
                <w:i w:val="false"/>
                <w:color w:val="000000"/>
                <w:sz w:val="20"/>
              </w:rPr>
              <w:t>
I кезең (2019 ж. ІІ тоқсан – 2019 ж. IV тоқсан) – 35,0 мың бірлік;</w:t>
            </w:r>
          </w:p>
          <w:p>
            <w:pPr>
              <w:spacing w:after="20"/>
              <w:ind w:left="20"/>
              <w:jc w:val="both"/>
            </w:pPr>
            <w:r>
              <w:rPr>
                <w:rFonts w:ascii="Times New Roman"/>
                <w:b w:val="false"/>
                <w:i w:val="false"/>
                <w:color w:val="000000"/>
                <w:sz w:val="20"/>
              </w:rPr>
              <w:t>
II кезең (2020 ж. I тоқсан – 2020 ж. IV тоқсан) – 128,3 мың бірлік;</w:t>
            </w:r>
          </w:p>
          <w:p>
            <w:pPr>
              <w:spacing w:after="20"/>
              <w:ind w:left="20"/>
              <w:jc w:val="both"/>
            </w:pPr>
            <w:r>
              <w:rPr>
                <w:rFonts w:ascii="Times New Roman"/>
                <w:b w:val="false"/>
                <w:i w:val="false"/>
                <w:color w:val="000000"/>
                <w:sz w:val="20"/>
              </w:rPr>
              <w:t>
2024 жылы – 258,6 мың бірлік.</w:t>
            </w:r>
          </w:p>
          <w:p>
            <w:pPr>
              <w:spacing w:after="20"/>
              <w:ind w:left="20"/>
              <w:jc w:val="both"/>
            </w:pPr>
            <w:r>
              <w:rPr>
                <w:rFonts w:ascii="Times New Roman"/>
                <w:b w:val="false"/>
                <w:i w:val="false"/>
                <w:color w:val="000000"/>
                <w:sz w:val="20"/>
              </w:rPr>
              <w:t>
Мүше мемлекеттердің арасындағы, мүше мемлекеттер мен Еуразиялық желіге кіру перспективасы бар үшінші елдердің – Германия, Қытай, Сингапур арасындағы трансшекаралық сауда шеңберінде жасалған келісімшарттардың саны: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Пессимистік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
            <w:pPr>
              <w:spacing w:after="0"/>
              <w:ind w:left="0"/>
              <w:jc w:val="both"/>
            </w:pPr>
            <w:r>
              <w:rPr>
                <w:rFonts w:ascii="Times New Roman"/>
                <w:b w:val="false"/>
                <w:i w:val="false"/>
                <w:color w:val="000000"/>
                <w:sz w:val="20"/>
              </w:rPr>
              <w:t>Мүше мемлекеттердің арасындағы, мүше мемлекеттер мен Еуразиялық желіге кіру перспективасы бар үшінші елдердің – Германия, Қытай, Сингапур арасындағы трансшекаралық сауда шеңберіндегі мәмілелер көлемі (Еуразиялық желіге қосылу есебінен айналым өсімін ескергенде):</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көлемі (млн. рубль)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156 234,3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Пессимистік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Еуразиялық желінің мынадай сервистері қосылуға тиіс.</w:t>
            </w:r>
          </w:p>
          <w:p>
            <w:pPr>
              <w:spacing w:after="20"/>
              <w:ind w:left="20"/>
              <w:jc w:val="both"/>
            </w:pPr>
            <w:r>
              <w:rPr>
                <w:rFonts w:ascii="Times New Roman"/>
                <w:b w:val="false"/>
                <w:i w:val="false"/>
                <w:color w:val="000000"/>
                <w:sz w:val="20"/>
              </w:rPr>
              <w:t>
Шаруашылық жүргізуші субъектілердің базалық сервистері:</w:t>
            </w:r>
          </w:p>
          <w:p>
            <w:pPr>
              <w:spacing w:after="20"/>
              <w:ind w:left="20"/>
              <w:jc w:val="both"/>
            </w:pPr>
            <w:r>
              <w:rPr>
                <w:rFonts w:ascii="Times New Roman"/>
                <w:b w:val="false"/>
                <w:i w:val="false"/>
                <w:color w:val="000000"/>
                <w:sz w:val="20"/>
              </w:rPr>
              <w:t>
Еуразиялық желініңшаруашылық жүргізуші субъектілерінің тізіліміндегі шаруашылық жүргізуші субъектілер туралы мәліметтерді енгізу, верификациялау және іздестіру;</w:t>
            </w:r>
          </w:p>
          <w:p>
            <w:pPr>
              <w:spacing w:after="20"/>
              <w:ind w:left="20"/>
              <w:jc w:val="both"/>
            </w:pPr>
            <w:r>
              <w:rPr>
                <w:rFonts w:ascii="Times New Roman"/>
                <w:b w:val="false"/>
                <w:i w:val="false"/>
                <w:color w:val="000000"/>
                <w:sz w:val="20"/>
              </w:rPr>
              <w:t>
өндірілетін өнім, көрсетілетін қызметтер, технологиялар туралы, сондай-ақ оларға сұраныс және ұсыныстар туралы мәліметтердің ақпараттық ресурстарына енгізу,верификациялау және іздестіру.</w:t>
            </w:r>
          </w:p>
          <w:p>
            <w:pPr>
              <w:spacing w:after="20"/>
              <w:ind w:left="20"/>
              <w:jc w:val="both"/>
            </w:pPr>
            <w:r>
              <w:rPr>
                <w:rFonts w:ascii="Times New Roman"/>
                <w:b w:val="false"/>
                <w:i w:val="false"/>
                <w:color w:val="000000"/>
                <w:sz w:val="20"/>
              </w:rPr>
              <w:t>
Базалық аналитикалық сервистер:</w:t>
            </w:r>
          </w:p>
          <w:p>
            <w:pPr>
              <w:spacing w:after="20"/>
              <w:ind w:left="20"/>
              <w:jc w:val="both"/>
            </w:pPr>
            <w:r>
              <w:rPr>
                <w:rFonts w:ascii="Times New Roman"/>
                <w:b w:val="false"/>
                <w:i w:val="false"/>
                <w:color w:val="000000"/>
                <w:sz w:val="20"/>
              </w:rPr>
              <w:t>
мүше мемлекеттерде көп өлшемді талдау мүмкіндігімен өнеркәсіптік кооперацияны, субконтрактацияны және технологиялар трансферін талдау және мониторингтеу сернвистері;</w:t>
            </w:r>
          </w:p>
          <w:p>
            <w:pPr>
              <w:spacing w:after="20"/>
              <w:ind w:left="20"/>
              <w:jc w:val="both"/>
            </w:pPr>
            <w:r>
              <w:rPr>
                <w:rFonts w:ascii="Times New Roman"/>
                <w:b w:val="false"/>
                <w:i w:val="false"/>
                <w:color w:val="000000"/>
                <w:sz w:val="20"/>
              </w:rPr>
              <w:t>
индустриялық-инновациялық объектілер мен олардың инфрақұрылымы туралы мәліметтерге қол жетімділікті қамтамасыз ету ("Өнеркәсіп атласы" геоақпараттық сервисі);</w:t>
            </w:r>
          </w:p>
          <w:p>
            <w:pPr>
              <w:spacing w:after="20"/>
              <w:ind w:left="20"/>
              <w:jc w:val="both"/>
            </w:pPr>
            <w:r>
              <w:rPr>
                <w:rFonts w:ascii="Times New Roman"/>
                <w:b w:val="false"/>
                <w:i w:val="false"/>
                <w:color w:val="000000"/>
                <w:sz w:val="20"/>
              </w:rPr>
              <w:t>
өнеркәсіптік кооперация, субконтрактация және технологиялар трансфері туралы білімдер базасы (wiki).</w:t>
            </w:r>
          </w:p>
          <w:p>
            <w:pPr>
              <w:spacing w:after="20"/>
              <w:ind w:left="20"/>
              <w:jc w:val="both"/>
            </w:pPr>
            <w:r>
              <w:rPr>
                <w:rFonts w:ascii="Times New Roman"/>
                <w:b w:val="false"/>
                <w:i w:val="false"/>
                <w:color w:val="000000"/>
                <w:sz w:val="20"/>
              </w:rPr>
              <w:t>
Ұлттық сервистер:</w:t>
            </w:r>
          </w:p>
          <w:p>
            <w:pPr>
              <w:spacing w:after="20"/>
              <w:ind w:left="20"/>
              <w:jc w:val="both"/>
            </w:pPr>
            <w:r>
              <w:rPr>
                <w:rFonts w:ascii="Times New Roman"/>
                <w:b w:val="false"/>
                <w:i w:val="false"/>
                <w:color w:val="000000"/>
                <w:sz w:val="20"/>
              </w:rPr>
              <w:t>
технологиялық сұрау салулар мен технологиялық ұсыныстар қалыптастыру жөніндегі технологиялар трансферінің сервистері;</w:t>
            </w:r>
          </w:p>
          <w:p>
            <w:pPr>
              <w:spacing w:after="20"/>
              <w:ind w:left="20"/>
              <w:jc w:val="both"/>
            </w:pPr>
            <w:r>
              <w:rPr>
                <w:rFonts w:ascii="Times New Roman"/>
                <w:b w:val="false"/>
                <w:i w:val="false"/>
                <w:color w:val="000000"/>
                <w:sz w:val="20"/>
              </w:rPr>
              <w:t>
өнеркәсіптік кәсіпорындарды қолдау шараларының сервис-навигаторы;</w:t>
            </w:r>
          </w:p>
          <w:p>
            <w:pPr>
              <w:spacing w:after="20"/>
              <w:ind w:left="20"/>
              <w:jc w:val="both"/>
            </w:pPr>
            <w:r>
              <w:rPr>
                <w:rFonts w:ascii="Times New Roman"/>
                <w:b w:val="false"/>
                <w:i w:val="false"/>
                <w:color w:val="000000"/>
                <w:sz w:val="20"/>
              </w:rPr>
              <w:t>
өнеркәсіптік өнімді сертификаттау, омологациялау жөніндегі қызметтерді, соның ішінде өндірістік объектілерді және олардың қызметін стандарттау жөніндегі қызметтерді іздестіру және оларға тапсырыс беру сервисі.</w:t>
            </w:r>
          </w:p>
          <w:p>
            <w:pPr>
              <w:spacing w:after="20"/>
              <w:ind w:left="20"/>
              <w:jc w:val="both"/>
            </w:pPr>
            <w:r>
              <w:rPr>
                <w:rFonts w:ascii="Times New Roman"/>
                <w:b w:val="false"/>
                <w:i w:val="false"/>
                <w:color w:val="000000"/>
                <w:sz w:val="20"/>
              </w:rPr>
              <w:t>
Сервис-провайдерлердің сервистері:</w:t>
            </w:r>
          </w:p>
          <w:p>
            <w:pPr>
              <w:spacing w:after="20"/>
              <w:ind w:left="20"/>
              <w:jc w:val="both"/>
            </w:pPr>
            <w:r>
              <w:rPr>
                <w:rFonts w:ascii="Times New Roman"/>
                <w:b w:val="false"/>
                <w:i w:val="false"/>
                <w:color w:val="000000"/>
                <w:sz w:val="20"/>
              </w:rPr>
              <w:t>
субконтрактацияның таңдап алынған тізбегі бойынша келісімшарттар жасасу сервисі;</w:t>
            </w:r>
          </w:p>
          <w:p>
            <w:pPr>
              <w:spacing w:after="20"/>
              <w:ind w:left="20"/>
              <w:jc w:val="both"/>
            </w:pPr>
            <w:r>
              <w:rPr>
                <w:rFonts w:ascii="Times New Roman"/>
                <w:b w:val="false"/>
                <w:i w:val="false"/>
                <w:color w:val="000000"/>
                <w:sz w:val="20"/>
              </w:rPr>
              <w:t>
кооперациялық тізбектер құру сервисі;</w:t>
            </w:r>
          </w:p>
          <w:p>
            <w:pPr>
              <w:spacing w:after="20"/>
              <w:ind w:left="20"/>
              <w:jc w:val="both"/>
            </w:pPr>
            <w:r>
              <w:rPr>
                <w:rFonts w:ascii="Times New Roman"/>
                <w:b w:val="false"/>
                <w:i w:val="false"/>
                <w:color w:val="000000"/>
                <w:sz w:val="20"/>
              </w:rPr>
              <w:t>
келісімшарттың орындалуын бақылау сервисі;</w:t>
            </w:r>
          </w:p>
          <w:p>
            <w:pPr>
              <w:spacing w:after="20"/>
              <w:ind w:left="20"/>
              <w:jc w:val="both"/>
            </w:pPr>
            <w:r>
              <w:rPr>
                <w:rFonts w:ascii="Times New Roman"/>
                <w:b w:val="false"/>
                <w:i w:val="false"/>
                <w:color w:val="000000"/>
                <w:sz w:val="20"/>
              </w:rPr>
              <w:t>
көлік-логистикалық сүйемелдеу сервистері;</w:t>
            </w:r>
          </w:p>
          <w:p>
            <w:pPr>
              <w:spacing w:after="20"/>
              <w:ind w:left="20"/>
              <w:jc w:val="both"/>
            </w:pPr>
            <w:r>
              <w:rPr>
                <w:rFonts w:ascii="Times New Roman"/>
                <w:b w:val="false"/>
                <w:i w:val="false"/>
                <w:color w:val="000000"/>
                <w:sz w:val="20"/>
              </w:rPr>
              <w:t>
қаржы қызметтиері мен сақтандыру қызметтерінің маркетплейсі;</w:t>
            </w:r>
          </w:p>
          <w:p>
            <w:pPr>
              <w:spacing w:after="20"/>
              <w:ind w:left="20"/>
              <w:jc w:val="both"/>
            </w:pPr>
            <w:r>
              <w:rPr>
                <w:rFonts w:ascii="Times New Roman"/>
                <w:b w:val="false"/>
                <w:i w:val="false"/>
                <w:color w:val="000000"/>
                <w:sz w:val="20"/>
              </w:rPr>
              <w:t>
салалық және халықаралық бенчмаркинг;</w:t>
            </w:r>
          </w:p>
          <w:p>
            <w:pPr>
              <w:spacing w:after="20"/>
              <w:ind w:left="20"/>
              <w:jc w:val="both"/>
            </w:pPr>
            <w:r>
              <w:rPr>
                <w:rFonts w:ascii="Times New Roman"/>
                <w:b w:val="false"/>
                <w:i w:val="false"/>
                <w:color w:val="000000"/>
                <w:sz w:val="20"/>
              </w:rPr>
              <w:t>
заңдық маңызы бар құжат айналымы, шаруашылық жүргізуші субъектілердің арасында деректер алмасу (EDI);</w:t>
            </w:r>
          </w:p>
          <w:p>
            <w:pPr>
              <w:spacing w:after="20"/>
              <w:ind w:left="20"/>
              <w:jc w:val="both"/>
            </w:pPr>
            <w:r>
              <w:rPr>
                <w:rFonts w:ascii="Times New Roman"/>
                <w:b w:val="false"/>
                <w:i w:val="false"/>
                <w:color w:val="000000"/>
                <w:sz w:val="20"/>
              </w:rPr>
              <w:t xml:space="preserve">
қоржындық инвесторды сүйемелдеу, контрагентті іздестіру және индустриялық жобаларға инвестиция салу туралы шарттар жасасу сервисі; </w:t>
            </w:r>
          </w:p>
          <w:p>
            <w:pPr>
              <w:spacing w:after="20"/>
              <w:ind w:left="20"/>
              <w:jc w:val="both"/>
            </w:pPr>
            <w:r>
              <w:rPr>
                <w:rFonts w:ascii="Times New Roman"/>
                <w:b w:val="false"/>
                <w:i w:val="false"/>
                <w:color w:val="000000"/>
                <w:sz w:val="20"/>
              </w:rPr>
              <w:t>
кепілдік берілген тапсырысты қамтамасыз ету сервисі;</w:t>
            </w:r>
          </w:p>
          <w:p>
            <w:pPr>
              <w:spacing w:after="20"/>
              <w:ind w:left="20"/>
              <w:jc w:val="both"/>
            </w:pPr>
            <w:r>
              <w:rPr>
                <w:rFonts w:ascii="Times New Roman"/>
                <w:b w:val="false"/>
                <w:i w:val="false"/>
                <w:color w:val="000000"/>
                <w:sz w:val="20"/>
              </w:rPr>
              <w:t>
өндірістік алаңды, жабдықты және мүлікті жалдау сервисі.</w:t>
            </w:r>
          </w:p>
          <w:p>
            <w:pPr>
              <w:spacing w:after="20"/>
              <w:ind w:left="20"/>
              <w:jc w:val="both"/>
            </w:pPr>
            <w:r>
              <w:rPr>
                <w:rFonts w:ascii="Times New Roman"/>
                <w:b w:val="false"/>
                <w:i w:val="false"/>
                <w:color w:val="000000"/>
                <w:sz w:val="20"/>
              </w:rPr>
              <w:t>
Нақты сервисті ұсыну туралы шешімді ұлттық компоненттің операторы және/немесе ұлттық сервис-провайдер ұлттық деңгейде қабылдайды.</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Жобаның шеңберлері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шеңберінде құрылатын Еуразиялық желі мүше мемлекеттердің шаруашылық жүргізуші субъектілерінің өнеркәсіптік кооперацияны, субконтрактацияны және технологиялар трансферін жүзеге асыруы кезіндегі өзара іс-қимылын қамтамасыз етуге арналған.</w:t>
            </w:r>
          </w:p>
          <w:p>
            <w:pPr>
              <w:spacing w:after="20"/>
              <w:ind w:left="20"/>
              <w:jc w:val="both"/>
            </w:pPr>
            <w:r>
              <w:rPr>
                <w:rFonts w:ascii="Times New Roman"/>
                <w:b w:val="false"/>
                <w:i w:val="false"/>
                <w:color w:val="000000"/>
                <w:sz w:val="20"/>
              </w:rPr>
              <w:t xml:space="preserve">
Осы мақсаттармен: </w:t>
            </w:r>
          </w:p>
          <w:p>
            <w:pPr>
              <w:spacing w:after="20"/>
              <w:ind w:left="20"/>
              <w:jc w:val="both"/>
            </w:pPr>
            <w:r>
              <w:rPr>
                <w:rFonts w:ascii="Times New Roman"/>
                <w:b w:val="false"/>
                <w:i w:val="false"/>
                <w:color w:val="000000"/>
                <w:sz w:val="20"/>
              </w:rPr>
              <w:t>
шаруашылық жүргізуші субъектілердің тізілімін, сондай-ақ өндірілетін өнім, көрсетілетін қызметтер, технологиялар туралы, сондай-ақ оларға сұраныс және ұсыныстар туралы мәліметтері бар ақпараттық ресурстарды қамтитын Еуразиялық желінің бірыңғай тізілімін қалыптастыру;</w:t>
            </w:r>
          </w:p>
          <w:p>
            <w:pPr>
              <w:spacing w:after="20"/>
              <w:ind w:left="20"/>
              <w:jc w:val="both"/>
            </w:pPr>
            <w:r>
              <w:rPr>
                <w:rFonts w:ascii="Times New Roman"/>
                <w:b w:val="false"/>
                <w:i w:val="false"/>
                <w:color w:val="000000"/>
                <w:sz w:val="20"/>
              </w:rPr>
              <w:t>
цифрландыру және қажет болған жағдайда шаруашылық жүргізуші субъектілердің өнеркәсіптік кооперация мен субконтрактация шеңберіндегі өзара іс-қимылы процестерін реинжинирингтеу;</w:t>
            </w:r>
          </w:p>
          <w:p>
            <w:pPr>
              <w:spacing w:after="20"/>
              <w:ind w:left="20"/>
              <w:jc w:val="both"/>
            </w:pPr>
            <w:r>
              <w:rPr>
                <w:rFonts w:ascii="Times New Roman"/>
                <w:b w:val="false"/>
                <w:i w:val="false"/>
                <w:color w:val="000000"/>
                <w:sz w:val="20"/>
              </w:rPr>
              <w:t>
цифрландыру және қажет болған жағдайда технолгиялар трансфері процестерін реинжинирингтеу;</w:t>
            </w:r>
          </w:p>
          <w:p>
            <w:pPr>
              <w:spacing w:after="20"/>
              <w:ind w:left="20"/>
              <w:jc w:val="both"/>
            </w:pPr>
            <w:r>
              <w:rPr>
                <w:rFonts w:ascii="Times New Roman"/>
                <w:b w:val="false"/>
                <w:i w:val="false"/>
                <w:color w:val="000000"/>
                <w:sz w:val="20"/>
              </w:rPr>
              <w:t>
өнеркәсіптік кооперацияға, субконтрактацияға және технологиялар трансферіне сәйкес келетін (атап айтқанда, қаржылық) процестерді цифрландыру;</w:t>
            </w:r>
          </w:p>
          <w:p>
            <w:pPr>
              <w:spacing w:after="20"/>
              <w:ind w:left="20"/>
              <w:jc w:val="both"/>
            </w:pPr>
            <w:r>
              <w:rPr>
                <w:rFonts w:ascii="Times New Roman"/>
                <w:b w:val="false"/>
                <w:i w:val="false"/>
                <w:color w:val="000000"/>
                <w:sz w:val="20"/>
              </w:rPr>
              <w:t>
шаруашылық жүргізуші субъектілердіңөнеркәсіптік кооперация, субконтрактация және технологиялар трансферішеңберіндегі өзара іс-қимылы туралы ақпаратты мониторингтеу және талдау құралдарын жасау көзделген.</w:t>
            </w:r>
          </w:p>
          <w:p>
            <w:pPr>
              <w:spacing w:after="20"/>
              <w:ind w:left="20"/>
              <w:jc w:val="both"/>
            </w:pPr>
            <w:r>
              <w:rPr>
                <w:rFonts w:ascii="Times New Roman"/>
                <w:b w:val="false"/>
                <w:i w:val="false"/>
                <w:color w:val="000000"/>
                <w:sz w:val="20"/>
              </w:rPr>
              <w:t>
Еуразиялық желі, соның ішінде өнеркәсіптік кооперация, субконтрактация және технологиялар трансфері процестерін цифрландыруды қамтамасыз ететін ұлттық компоненттердің функционалдық сервистеріне қол жетімділік беретін болады, сондай-ақ ол кейіннен өнеркәсіптік кооперация, субконтрактация және технологиялар трансфері процестерімен байланысты қызметті жүзеге асыру кезінде қажетті қаржылық, логистикалық және өзге де қызметтерді көрсететін сервистермен кеңейтілуі және түрлендірілуі мүмкін.</w:t>
            </w:r>
          </w:p>
          <w:p>
            <w:pPr>
              <w:spacing w:after="20"/>
              <w:ind w:left="20"/>
              <w:jc w:val="both"/>
            </w:pPr>
            <w:r>
              <w:rPr>
                <w:rFonts w:ascii="Times New Roman"/>
                <w:b w:val="false"/>
                <w:i w:val="false"/>
                <w:color w:val="000000"/>
                <w:sz w:val="20"/>
              </w:rPr>
              <w:t>
Еуразиялық желі үшінші елдердің қатысушыларымен үшінші мемлекеттердің сервистері, сервис-провайдерлері, ұлттық компоненттері деңгейінде өзара іс-қимыл жасау және ықпалдасу механизмдерін, сондай-ақ үшінші елдердің цифрлық платформаларымен өзара іс-қимыл механизмдерін көздейтін болады.</w:t>
            </w:r>
          </w:p>
          <w:p>
            <w:pPr>
              <w:spacing w:after="20"/>
              <w:ind w:left="20"/>
              <w:jc w:val="both"/>
            </w:pPr>
            <w:r>
              <w:rPr>
                <w:rFonts w:ascii="Times New Roman"/>
                <w:b w:val="false"/>
                <w:i w:val="false"/>
                <w:color w:val="000000"/>
                <w:sz w:val="20"/>
              </w:rPr>
              <w:t xml:space="preserve">
Жоба шеңберінде: </w:t>
            </w:r>
          </w:p>
          <w:p>
            <w:pPr>
              <w:spacing w:after="20"/>
              <w:ind w:left="20"/>
              <w:jc w:val="both"/>
            </w:pPr>
            <w:r>
              <w:rPr>
                <w:rFonts w:ascii="Times New Roman"/>
                <w:b w:val="false"/>
                <w:i w:val="false"/>
                <w:color w:val="000000"/>
                <w:sz w:val="20"/>
              </w:rPr>
              <w:t>
үшінші елдердің қатысушыларымен үшінші елдердің сервистері, сервис-провайдерлері, ұлттық компоненттері деңгейіндегі өзара іс-қимылды практикалық іске асыру;</w:t>
            </w:r>
          </w:p>
          <w:p>
            <w:pPr>
              <w:spacing w:after="20"/>
              <w:ind w:left="20"/>
              <w:jc w:val="both"/>
            </w:pPr>
            <w:r>
              <w:rPr>
                <w:rFonts w:ascii="Times New Roman"/>
                <w:b w:val="false"/>
                <w:i w:val="false"/>
                <w:color w:val="000000"/>
                <w:sz w:val="20"/>
              </w:rPr>
              <w:t>
әскери-техникалық ынтымақтастыққа, мемлекеттік құпияға немесе қол жетімділігі шектеулі мәліметтерге жататын мәселелер бойынша кооперация;</w:t>
            </w:r>
          </w:p>
          <w:p>
            <w:pPr>
              <w:spacing w:after="20"/>
              <w:ind w:left="20"/>
              <w:jc w:val="both"/>
            </w:pPr>
            <w:r>
              <w:rPr>
                <w:rFonts w:ascii="Times New Roman"/>
                <w:b w:val="false"/>
                <w:i w:val="false"/>
                <w:color w:val="000000"/>
                <w:sz w:val="20"/>
              </w:rPr>
              <w:t>
Еуразиялық желінің интеграциялық компонентіндегі дербес деректерді өңдеу және сақтау;</w:t>
            </w:r>
          </w:p>
          <w:p>
            <w:pPr>
              <w:spacing w:after="20"/>
              <w:ind w:left="20"/>
              <w:jc w:val="both"/>
            </w:pPr>
            <w:r>
              <w:rPr>
                <w:rFonts w:ascii="Times New Roman"/>
                <w:b w:val="false"/>
                <w:i w:val="false"/>
                <w:color w:val="000000"/>
                <w:sz w:val="20"/>
              </w:rPr>
              <w:t>
ұлттық деңгейдегі сервистерді қосу кезінде ұлттық компоненттер операторларының қызметін регламенттеу көзделмеген.</w:t>
            </w:r>
          </w:p>
          <w:p>
            <w:pPr>
              <w:spacing w:after="20"/>
              <w:ind w:left="20"/>
              <w:jc w:val="both"/>
            </w:pPr>
            <w:r>
              <w:rPr>
                <w:rFonts w:ascii="Times New Roman"/>
                <w:b w:val="false"/>
                <w:i w:val="false"/>
                <w:color w:val="000000"/>
                <w:sz w:val="20"/>
              </w:rPr>
              <w:t>
Электрондық құжаттардың заңдық маңыздылығын қамтамасыз етуді мүше мемлекеттердің заңнамасы мен Одақ құқығы шеңберінде сервис-провайдерлер іске асырады.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Жолберілімдер, шектеулер, тәуекелдер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экожүйелік байланыстарының тұрақсыздығы;</w:t>
            </w:r>
          </w:p>
          <w:p>
            <w:pPr>
              <w:spacing w:after="20"/>
              <w:ind w:left="20"/>
              <w:jc w:val="both"/>
            </w:pPr>
            <w:r>
              <w:rPr>
                <w:rFonts w:ascii="Times New Roman"/>
                <w:b w:val="false"/>
                <w:i w:val="false"/>
                <w:color w:val="000000"/>
                <w:sz w:val="20"/>
              </w:rPr>
              <w:t>
бағдарламалық-техникалық құралдардың және инфрақұрылым объектілерін сатып алудың (жалдаудың) қымбаттауына байланысты экономикалық (коммерциялық) тәуекелдер;</w:t>
            </w:r>
          </w:p>
          <w:p>
            <w:pPr>
              <w:spacing w:after="20"/>
              <w:ind w:left="20"/>
              <w:jc w:val="both"/>
            </w:pPr>
            <w:r>
              <w:rPr>
                <w:rFonts w:ascii="Times New Roman"/>
                <w:b w:val="false"/>
                <w:i w:val="false"/>
                <w:color w:val="000000"/>
                <w:sz w:val="20"/>
              </w:rPr>
              <w:t>
мүше мемлекеттердің электрондық-цифрлық қолтаңбаларды өзара тануы туралы шешімдердің ұзақ уақыт болмауы тәуекелдері;</w:t>
            </w:r>
          </w:p>
          <w:p>
            <w:pPr>
              <w:spacing w:after="20"/>
              <w:ind w:left="20"/>
              <w:jc w:val="both"/>
            </w:pPr>
            <w:r>
              <w:rPr>
                <w:rFonts w:ascii="Times New Roman"/>
                <w:b w:val="false"/>
                <w:i w:val="false"/>
                <w:color w:val="000000"/>
                <w:sz w:val="20"/>
              </w:rPr>
              <w:t>
қаржылық тәуекелдер;</w:t>
            </w:r>
          </w:p>
          <w:p>
            <w:pPr>
              <w:spacing w:after="20"/>
              <w:ind w:left="20"/>
              <w:jc w:val="both"/>
            </w:pPr>
            <w:r>
              <w:rPr>
                <w:rFonts w:ascii="Times New Roman"/>
                <w:b w:val="false"/>
                <w:i w:val="false"/>
                <w:color w:val="000000"/>
                <w:sz w:val="20"/>
              </w:rPr>
              <w:t>
салық тәуекелдері;</w:t>
            </w:r>
          </w:p>
          <w:p>
            <w:pPr>
              <w:spacing w:after="20"/>
              <w:ind w:left="20"/>
              <w:jc w:val="both"/>
            </w:pPr>
            <w:r>
              <w:rPr>
                <w:rFonts w:ascii="Times New Roman"/>
                <w:b w:val="false"/>
                <w:i w:val="false"/>
                <w:color w:val="000000"/>
                <w:sz w:val="20"/>
              </w:rPr>
              <w:t>
кедендік-тарифтік реттеу тәуекелдері;</w:t>
            </w:r>
          </w:p>
          <w:p>
            <w:pPr>
              <w:spacing w:after="20"/>
              <w:ind w:left="20"/>
              <w:jc w:val="both"/>
            </w:pPr>
            <w:r>
              <w:rPr>
                <w:rFonts w:ascii="Times New Roman"/>
                <w:b w:val="false"/>
                <w:i w:val="false"/>
                <w:color w:val="000000"/>
                <w:sz w:val="20"/>
              </w:rPr>
              <w:t>
саяси тәуекелдер.</w:t>
            </w:r>
          </w:p>
          <w:p>
            <w:pPr>
              <w:spacing w:after="20"/>
              <w:ind w:left="20"/>
              <w:jc w:val="both"/>
            </w:pPr>
            <w:r>
              <w:rPr>
                <w:rFonts w:ascii="Times New Roman"/>
                <w:b w:val="false"/>
                <w:i w:val="false"/>
                <w:color w:val="000000"/>
                <w:sz w:val="20"/>
              </w:rPr>
              <w:t>
Жобаны шектеу:</w:t>
            </w:r>
          </w:p>
          <w:p>
            <w:pPr>
              <w:spacing w:after="20"/>
              <w:ind w:left="20"/>
              <w:jc w:val="both"/>
            </w:pPr>
            <w:r>
              <w:rPr>
                <w:rFonts w:ascii="Times New Roman"/>
                <w:b w:val="false"/>
                <w:i w:val="false"/>
                <w:color w:val="000000"/>
                <w:sz w:val="20"/>
              </w:rPr>
              <w:t>
мүше мемлекеттердің тарапынан қаржылық және әкімшілік қолдау қажеттігі;</w:t>
            </w:r>
          </w:p>
          <w:p>
            <w:pPr>
              <w:spacing w:after="20"/>
              <w:ind w:left="20"/>
              <w:jc w:val="both"/>
            </w:pPr>
            <w:r>
              <w:rPr>
                <w:rFonts w:ascii="Times New Roman"/>
                <w:b w:val="false"/>
                <w:i w:val="false"/>
                <w:color w:val="000000"/>
                <w:sz w:val="20"/>
              </w:rPr>
              <w:t>
басқа да Еуразиялық цифрлық бастамалармен және Одақ шеңберіндегі жалпы процестерді оларды іске асыруда синхрондау қажеттігін және кешігу мүмкіндігін ескере отырып іске асырумен байланыстылық.</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Жобаныіскеасырумерзімдері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біріншікезең: 2019 ж. ІІ тоқсан – 2019 ж. IV тоқсан;</w:t>
            </w:r>
          </w:p>
          <w:p>
            <w:pPr>
              <w:spacing w:after="20"/>
              <w:ind w:left="20"/>
              <w:jc w:val="both"/>
            </w:pPr>
            <w:r>
              <w:rPr>
                <w:rFonts w:ascii="Times New Roman"/>
                <w:b w:val="false"/>
                <w:i w:val="false"/>
                <w:color w:val="000000"/>
                <w:sz w:val="20"/>
              </w:rPr>
              <w:t>
екіншікезең: 2020 ж. I тоқсан – 2020 ж. IV тоқсан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Жобаға қатысушылардың рөлдері мен жауапкершіліктерін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қатысушылары:</w:t>
            </w:r>
          </w:p>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желі операторы;</w:t>
            </w:r>
          </w:p>
          <w:p>
            <w:pPr>
              <w:spacing w:after="20"/>
              <w:ind w:left="20"/>
              <w:jc w:val="both"/>
            </w:pPr>
            <w:r>
              <w:rPr>
                <w:rFonts w:ascii="Times New Roman"/>
                <w:b w:val="false"/>
                <w:i w:val="false"/>
                <w:color w:val="000000"/>
                <w:sz w:val="20"/>
              </w:rPr>
              <w:t>
мүше мемлекеттердің уәкілетті органдары;</w:t>
            </w:r>
          </w:p>
          <w:p>
            <w:pPr>
              <w:spacing w:after="20"/>
              <w:ind w:left="20"/>
              <w:jc w:val="both"/>
            </w:pPr>
            <w:r>
              <w:rPr>
                <w:rFonts w:ascii="Times New Roman"/>
                <w:b w:val="false"/>
                <w:i w:val="false"/>
                <w:color w:val="000000"/>
                <w:sz w:val="20"/>
              </w:rPr>
              <w:t>
Еуразиялық желінің ұлттық компоненттерінің операторлары;</w:t>
            </w:r>
          </w:p>
          <w:p>
            <w:pPr>
              <w:spacing w:after="20"/>
              <w:ind w:left="20"/>
              <w:jc w:val="both"/>
            </w:pPr>
            <w:r>
              <w:rPr>
                <w:rFonts w:ascii="Times New Roman"/>
                <w:b w:val="false"/>
                <w:i w:val="false"/>
                <w:color w:val="000000"/>
                <w:sz w:val="20"/>
              </w:rPr>
              <w:t>
сервис-провайдерлер;</w:t>
            </w:r>
          </w:p>
          <w:p>
            <w:pPr>
              <w:spacing w:after="20"/>
              <w:ind w:left="20"/>
              <w:jc w:val="both"/>
            </w:pPr>
            <w:r>
              <w:rPr>
                <w:rFonts w:ascii="Times New Roman"/>
                <w:b w:val="false"/>
                <w:i w:val="false"/>
                <w:color w:val="000000"/>
                <w:sz w:val="20"/>
              </w:rPr>
              <w:t>
субконтрактацияжәнетехнологиялар трансферіорталықтары;</w:t>
            </w:r>
          </w:p>
          <w:p>
            <w:pPr>
              <w:spacing w:after="20"/>
              <w:ind w:left="20"/>
              <w:jc w:val="both"/>
            </w:pPr>
            <w:r>
              <w:rPr>
                <w:rFonts w:ascii="Times New Roman"/>
                <w:b w:val="false"/>
                <w:i w:val="false"/>
                <w:color w:val="000000"/>
                <w:sz w:val="20"/>
              </w:rPr>
              <w:t>
шаруашылық жүргізуші субъектілер.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мемлекеттердің уәкілетті органдары мен ұйымдарының тізбесі (субконтрактация):</w:t>
            </w:r>
          </w:p>
          <w:p>
            <w:pPr>
              <w:spacing w:after="20"/>
              <w:ind w:left="20"/>
              <w:jc w:val="both"/>
            </w:pPr>
            <w:r>
              <w:rPr>
                <w:rFonts w:ascii="Times New Roman"/>
                <w:b w:val="false"/>
                <w:i w:val="false"/>
                <w:color w:val="000000"/>
                <w:sz w:val="20"/>
              </w:rPr>
              <w:t>
Армения Республикасы –Армения РеспубликасыЭкономикалық даму жәнеинвестицияларминистрлігі;</w:t>
            </w:r>
          </w:p>
          <w:p>
            <w:pPr>
              <w:spacing w:after="20"/>
              <w:ind w:left="20"/>
              <w:jc w:val="both"/>
            </w:pPr>
            <w:r>
              <w:rPr>
                <w:rFonts w:ascii="Times New Roman"/>
                <w:b w:val="false"/>
                <w:i w:val="false"/>
                <w:color w:val="000000"/>
                <w:sz w:val="20"/>
              </w:rPr>
              <w:t>
Беларусь Республикасы –Беларусь Республикасы Экономика министрлігі (үйлестіруші). Өнеркәсіптік кәсіпорындардың бірыңғай тізілімінің ұлттық бөлігін қалыптастыру және жүргізу жөніндегі өкілеттіктер Белоруссияның кәсіпкерлерді қаржылық қолдау қорына берілген;</w:t>
            </w:r>
          </w:p>
          <w:p>
            <w:pPr>
              <w:spacing w:after="20"/>
              <w:ind w:left="20"/>
              <w:jc w:val="both"/>
            </w:pPr>
            <w:r>
              <w:rPr>
                <w:rFonts w:ascii="Times New Roman"/>
                <w:b w:val="false"/>
                <w:i w:val="false"/>
                <w:color w:val="000000"/>
                <w:sz w:val="20"/>
              </w:rPr>
              <w:t>
Қазақстан Республикасы –"NADLoС" жергілікті қамтуды дамыту жөніндегі ұлттық агенттік" акционерлік қоғамы (Қазақстан Республикасы Индустрия және инфрақұрылымдық даму министрлігіне ведомстволық бағынысты ұйым);</w:t>
            </w:r>
          </w:p>
          <w:p>
            <w:pPr>
              <w:spacing w:after="20"/>
              <w:ind w:left="20"/>
              <w:jc w:val="both"/>
            </w:pPr>
            <w:r>
              <w:rPr>
                <w:rFonts w:ascii="Times New Roman"/>
                <w:b w:val="false"/>
                <w:i w:val="false"/>
                <w:color w:val="000000"/>
                <w:sz w:val="20"/>
              </w:rPr>
              <w:t>
Қырғыз Республикасы –Қырғыз Республикасы Өнеркәсіп, энергетика және жер қойнауын пайдалану мемлекеттік комитеті;</w:t>
            </w:r>
          </w:p>
          <w:p>
            <w:pPr>
              <w:spacing w:after="20"/>
              <w:ind w:left="20"/>
              <w:jc w:val="both"/>
            </w:pPr>
            <w:r>
              <w:rPr>
                <w:rFonts w:ascii="Times New Roman"/>
                <w:b w:val="false"/>
                <w:i w:val="false"/>
                <w:color w:val="000000"/>
                <w:sz w:val="20"/>
              </w:rPr>
              <w:t>
РесейФедерациясы –РесейФедерациясыӨнеркәсіпжәнесаудаминистрлігі (үйлестіруші). Еуразиялық желінің ұлттық бөлігін қалыптастыру және жүргізу жөніндегі өкілеттіктер Ресей Федерациясының Өнеркәсіпті дамыту қорына берілген.</w:t>
            </w:r>
          </w:p>
          <w:p>
            <w:pPr>
              <w:spacing w:after="20"/>
              <w:ind w:left="20"/>
              <w:jc w:val="both"/>
            </w:pPr>
            <w:r>
              <w:rPr>
                <w:rFonts w:ascii="Times New Roman"/>
                <w:b w:val="false"/>
                <w:i w:val="false"/>
                <w:color w:val="000000"/>
                <w:sz w:val="20"/>
              </w:rPr>
              <w:t>
Мүше мемлекеттердегіуәкілетті органдар мен ұйымдардың тізбесі (технологиялар трансфері):</w:t>
            </w:r>
          </w:p>
          <w:p>
            <w:pPr>
              <w:spacing w:after="20"/>
              <w:ind w:left="20"/>
              <w:jc w:val="both"/>
            </w:pPr>
            <w:r>
              <w:rPr>
                <w:rFonts w:ascii="Times New Roman"/>
                <w:b w:val="false"/>
                <w:i w:val="false"/>
                <w:color w:val="000000"/>
                <w:sz w:val="20"/>
              </w:rPr>
              <w:t>
Армения Республикасы – қазіргі кезде жоқ;</w:t>
            </w:r>
          </w:p>
          <w:p>
            <w:pPr>
              <w:spacing w:after="20"/>
              <w:ind w:left="20"/>
              <w:jc w:val="both"/>
            </w:pPr>
            <w:r>
              <w:rPr>
                <w:rFonts w:ascii="Times New Roman"/>
                <w:b w:val="false"/>
                <w:i w:val="false"/>
                <w:color w:val="000000"/>
                <w:sz w:val="20"/>
              </w:rPr>
              <w:t>
Беларусь Республикасы –Беларусь Республикасы Ғылым және технологиялар мемлекеттік комитеті (ұлттық деңгейде жалпы үйлестіру), Республикалық технологиялар трансфері орталығы (технологиялар трансфері мәселелері);</w:t>
            </w:r>
          </w:p>
          <w:p>
            <w:pPr>
              <w:spacing w:after="20"/>
              <w:ind w:left="20"/>
              <w:jc w:val="both"/>
            </w:pPr>
            <w:r>
              <w:rPr>
                <w:rFonts w:ascii="Times New Roman"/>
                <w:b w:val="false"/>
                <w:i w:val="false"/>
                <w:color w:val="000000"/>
                <w:sz w:val="20"/>
              </w:rPr>
              <w:t>
Қазақстан Республикасы –Қазақстан Республикасының Технологиялық даму жөніндегі ұлттық агенттігі;</w:t>
            </w:r>
          </w:p>
          <w:p>
            <w:pPr>
              <w:spacing w:after="20"/>
              <w:ind w:left="20"/>
              <w:jc w:val="both"/>
            </w:pPr>
            <w:r>
              <w:rPr>
                <w:rFonts w:ascii="Times New Roman"/>
                <w:b w:val="false"/>
                <w:i w:val="false"/>
                <w:color w:val="000000"/>
                <w:sz w:val="20"/>
              </w:rPr>
              <w:t>
Қырғыз Республикасы –Қырғыз Республикасының Ақпараттық технологиялар және байланыс мемлекеттік комитеті;</w:t>
            </w:r>
          </w:p>
          <w:p>
            <w:pPr>
              <w:spacing w:after="20"/>
              <w:ind w:left="20"/>
              <w:jc w:val="both"/>
            </w:pPr>
            <w:r>
              <w:rPr>
                <w:rFonts w:ascii="Times New Roman"/>
                <w:b w:val="false"/>
                <w:i w:val="false"/>
                <w:color w:val="000000"/>
                <w:sz w:val="20"/>
              </w:rPr>
              <w:t>
РесейФедерациясы –РесейФедерациясыныңӨнеркәсіптідамытуқоры.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Жобабойыншаесептер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жүргізужөніндегінегізгіқызметтіүйлестіру тобы желіоператорыменөзараіс-қимылдажүзеге асырады. Мониторинг барысында мынадай есептер қалыптастырылады:</w:t>
            </w:r>
          </w:p>
          <w:p>
            <w:pPr>
              <w:spacing w:after="20"/>
              <w:ind w:left="20"/>
              <w:jc w:val="both"/>
            </w:pPr>
            <w:r>
              <w:rPr>
                <w:rFonts w:ascii="Times New Roman"/>
                <w:b w:val="false"/>
                <w:i w:val="false"/>
                <w:color w:val="000000"/>
                <w:sz w:val="20"/>
              </w:rPr>
              <w:t>
Одақ органы ұсынатын тоқсан сайынғы есептілік;</w:t>
            </w:r>
          </w:p>
          <w:p>
            <w:pPr>
              <w:spacing w:after="20"/>
              <w:ind w:left="20"/>
              <w:jc w:val="both"/>
            </w:pPr>
            <w:r>
              <w:rPr>
                <w:rFonts w:ascii="Times New Roman"/>
                <w:b w:val="false"/>
                <w:i w:val="false"/>
                <w:color w:val="000000"/>
                <w:sz w:val="20"/>
              </w:rPr>
              <w:t>
жоспарланған нәтижелерге қол жеткізуді бағалау арқылы жобаны іске асырылуы бойынша қорытынды есеп;</w:t>
            </w:r>
          </w:p>
          <w:p>
            <w:pPr>
              <w:spacing w:after="20"/>
              <w:ind w:left="20"/>
              <w:jc w:val="both"/>
            </w:pPr>
            <w:r>
              <w:rPr>
                <w:rFonts w:ascii="Times New Roman"/>
                <w:b w:val="false"/>
                <w:i w:val="false"/>
                <w:color w:val="000000"/>
                <w:sz w:val="20"/>
              </w:rPr>
              <w:t>
үйлестіру тобының сұрау салулары бойынша есептер;</w:t>
            </w:r>
          </w:p>
          <w:p>
            <w:pPr>
              <w:spacing w:after="20"/>
              <w:ind w:left="20"/>
              <w:jc w:val="both"/>
            </w:pPr>
            <w:r>
              <w:rPr>
                <w:rFonts w:ascii="Times New Roman"/>
                <w:b w:val="false"/>
                <w:i w:val="false"/>
                <w:color w:val="000000"/>
                <w:sz w:val="20"/>
              </w:rPr>
              <w:t>
Еуразиялық желінің ұлттық компоненттері операторлары мен сервис-провайдерлердің желі операторына беретін есептілігі.</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Меншікқұқығы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базалық және интеграциялық компоненттерінің құқық иеленушісі Комиссия болып табылады.</w:t>
            </w:r>
          </w:p>
          <w:p>
            <w:pPr>
              <w:spacing w:after="20"/>
              <w:ind w:left="20"/>
              <w:jc w:val="both"/>
            </w:pPr>
            <w:r>
              <w:rPr>
                <w:rFonts w:ascii="Times New Roman"/>
                <w:b w:val="false"/>
                <w:i w:val="false"/>
                <w:color w:val="000000"/>
                <w:sz w:val="20"/>
              </w:rPr>
              <w:t>
Еуразиялық желінің ұлттық компоненттеріне құқықтарды регламенттеу мүше мемлекеттердің қарауында болады. Сервистерге құқықтар сервис-провайдерлерге тиесілі.</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Қаржыландыру көздері және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мәселелері жобаның техникалық тапсырмасы бекітілгеннен кейін Еуразиялық үкіметаралық кеңестің шешімімен айқындалатын болады.</w:t>
            </w:r>
          </w:p>
          <w:p>
            <w:pPr>
              <w:spacing w:after="20"/>
              <w:ind w:left="20"/>
              <w:jc w:val="both"/>
            </w:pPr>
            <w:r>
              <w:rPr>
                <w:rFonts w:ascii="Times New Roman"/>
                <w:b w:val="false"/>
                <w:i w:val="false"/>
                <w:color w:val="000000"/>
                <w:sz w:val="20"/>
              </w:rPr>
              <w:t>
Жобаны қаржыландырудың шамамен алғандағы алдын ала моделі:</w:t>
            </w:r>
          </w:p>
          <w:p>
            <w:pPr>
              <w:spacing w:after="20"/>
              <w:ind w:left="20"/>
              <w:jc w:val="both"/>
            </w:pPr>
            <w:r>
              <w:rPr>
                <w:rFonts w:ascii="Times New Roman"/>
                <w:b w:val="false"/>
                <w:i w:val="false"/>
                <w:color w:val="000000"/>
                <w:sz w:val="20"/>
              </w:rPr>
              <w:t>
жобаны қаржыландыру мемлекеттік-жеке меншік әріптестік механизмдері пайдаланылатын мынадай көздер есебінен көзделген:</w:t>
            </w:r>
          </w:p>
          <w:p>
            <w:pPr>
              <w:spacing w:after="20"/>
              <w:ind w:left="20"/>
              <w:jc w:val="both"/>
            </w:pPr>
            <w:r>
              <w:rPr>
                <w:rFonts w:ascii="Times New Roman"/>
                <w:b w:val="false"/>
                <w:i w:val="false"/>
                <w:color w:val="000000"/>
                <w:sz w:val="20"/>
              </w:rPr>
              <w:t xml:space="preserve">
Комиссия іске асыратын іс-шаралар бөлігінде – Одақтың интеграцияланған ақпараттық жүйесін құруға, оның жұмыс істеуі мен дамуын қамтамасыз етуге көзделген Одақ бюджетінің қаражаты есебінен, Еуразиялық экономикалық одақтың цифрлық күн тәртібін іске асыруға жұмсалатын 152,44 млн. рубльге дейінгі (шамамен) шығыстар шеңберінде, оның ішінде: </w:t>
            </w:r>
          </w:p>
          <w:p>
            <w:pPr>
              <w:spacing w:after="20"/>
              <w:ind w:left="20"/>
              <w:jc w:val="both"/>
            </w:pPr>
            <w:r>
              <w:rPr>
                <w:rFonts w:ascii="Times New Roman"/>
                <w:b w:val="false"/>
                <w:i w:val="false"/>
                <w:color w:val="000000"/>
                <w:sz w:val="20"/>
              </w:rPr>
              <w:t>
2019жылы – 97,58 млн. рубльге дейін (шамамен);</w:t>
            </w:r>
          </w:p>
          <w:p>
            <w:pPr>
              <w:spacing w:after="20"/>
              <w:ind w:left="20"/>
              <w:jc w:val="both"/>
            </w:pPr>
            <w:r>
              <w:rPr>
                <w:rFonts w:ascii="Times New Roman"/>
                <w:b w:val="false"/>
                <w:i w:val="false"/>
                <w:color w:val="000000"/>
                <w:sz w:val="20"/>
              </w:rPr>
              <w:t>
2020 жылы – 54,86 млн. рубльге дейін (шамамен);</w:t>
            </w:r>
          </w:p>
          <w:p>
            <w:pPr>
              <w:spacing w:after="20"/>
              <w:ind w:left="20"/>
              <w:jc w:val="both"/>
            </w:pPr>
            <w:r>
              <w:rPr>
                <w:rFonts w:ascii="Times New Roman"/>
                <w:b w:val="false"/>
                <w:i w:val="false"/>
                <w:color w:val="000000"/>
                <w:sz w:val="20"/>
              </w:rPr>
              <w:t xml:space="preserve">
мүше мемлекеттер бюджеттерінің қаражаты – 77,67 млн. рубльге дейін (шамамен); </w:t>
            </w:r>
          </w:p>
          <w:p>
            <w:pPr>
              <w:spacing w:after="20"/>
              <w:ind w:left="20"/>
              <w:jc w:val="both"/>
            </w:pPr>
            <w:r>
              <w:rPr>
                <w:rFonts w:ascii="Times New Roman"/>
                <w:b w:val="false"/>
                <w:i w:val="false"/>
                <w:color w:val="000000"/>
                <w:sz w:val="20"/>
              </w:rPr>
              <w:t>
сервис-провайдерлердіңқаражаты – 372,00 млн. рубльге дейін (шамамен).</w:t>
            </w:r>
          </w:p>
          <w:p>
            <w:pPr>
              <w:spacing w:after="20"/>
              <w:ind w:left="20"/>
              <w:jc w:val="both"/>
            </w:pPr>
            <w:r>
              <w:rPr>
                <w:rFonts w:ascii="Times New Roman"/>
                <w:b w:val="false"/>
                <w:i w:val="false"/>
                <w:color w:val="000000"/>
                <w:sz w:val="20"/>
              </w:rPr>
              <w:t>
Қаржылық модельге жоғары деңгейдегі жоспардың іс-шараларын іске асыру жатқызылған, соның ішінде:</w:t>
            </w:r>
          </w:p>
          <w:p>
            <w:pPr>
              <w:spacing w:after="20"/>
              <w:ind w:left="20"/>
              <w:jc w:val="both"/>
            </w:pPr>
            <w:r>
              <w:rPr>
                <w:rFonts w:ascii="Times New Roman"/>
                <w:b w:val="false"/>
                <w:i w:val="false"/>
                <w:color w:val="000000"/>
                <w:sz w:val="20"/>
              </w:rPr>
              <w:t>
пайдалану сервистерін жасау және қосу бойынша әмбебап платформалық шешім болып табылатын базалық компонент құру (70,00 млн. рубльге дейін). Мүше мемлекеттің сұрау салуы кезінде базалық компонент лицензиялық келісім бойынша толыққанды жұмыс істейтін ұлттық компонент ретінде қосу үшін мүше мемлекетке өтеусіз негізде берілуі мүмкін;</w:t>
            </w:r>
          </w:p>
          <w:p>
            <w:pPr>
              <w:spacing w:after="20"/>
              <w:ind w:left="20"/>
              <w:jc w:val="both"/>
            </w:pPr>
            <w:r>
              <w:rPr>
                <w:rFonts w:ascii="Times New Roman"/>
                <w:b w:val="false"/>
                <w:i w:val="false"/>
                <w:color w:val="000000"/>
                <w:sz w:val="20"/>
              </w:rPr>
              <w:t>
Еуразиялық желі компоненттерінің өзара іс-қимылын қамтамасыз ететін Комиссияның жалпы сервистері мен инфрақұрылымдық сервистерді қамтитын интеграциялық компонент құру (52,44 млн. рубльге дейін);</w:t>
            </w:r>
          </w:p>
          <w:p>
            <w:pPr>
              <w:spacing w:after="20"/>
              <w:ind w:left="20"/>
              <w:jc w:val="both"/>
            </w:pPr>
            <w:r>
              <w:rPr>
                <w:rFonts w:ascii="Times New Roman"/>
                <w:b w:val="false"/>
                <w:i w:val="false"/>
                <w:color w:val="000000"/>
                <w:sz w:val="20"/>
              </w:rPr>
              <w:t>
ұлттық компоненттерді қосуды жүзеге асыру (30,00 млн. рубльге дейін): Армения Республикасының, Беларусь Республикасының, Қазақстан Республикасының және Қырғыз Республикасының ұлттық компоненттерін қосу үшін 7,50 млн. рубльден).</w:t>
            </w:r>
          </w:p>
          <w:p>
            <w:pPr>
              <w:spacing w:after="20"/>
              <w:ind w:left="20"/>
              <w:jc w:val="both"/>
            </w:pPr>
            <w:r>
              <w:rPr>
                <w:rFonts w:ascii="Times New Roman"/>
                <w:b w:val="false"/>
                <w:i w:val="false"/>
                <w:color w:val="000000"/>
                <w:sz w:val="20"/>
              </w:rPr>
              <w:t>
Мүше мемлекеттер бюджеттерінің ұлттық компоненттердің жұмыс істеп тұрған және құрылатын сервистерін дамытуға және Еуразиялық желіге қосуға арналған қаражаты (77,67 млн. рубль) (рубль эквивалентінде бағалауға сәйкес):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Армения Республикасы – 9,05 млн. рубль;</w:t>
            </w:r>
          </w:p>
          <w:p>
            <w:pPr>
              <w:spacing w:after="20"/>
              <w:ind w:left="20"/>
              <w:jc w:val="both"/>
            </w:pPr>
            <w:r>
              <w:rPr>
                <w:rFonts w:ascii="Times New Roman"/>
                <w:b w:val="false"/>
                <w:i w:val="false"/>
                <w:color w:val="000000"/>
                <w:sz w:val="20"/>
              </w:rPr>
              <w:t xml:space="preserve">
Беларусь Республикасы – 23,35 млн. рубль; </w:t>
            </w:r>
          </w:p>
          <w:p>
            <w:pPr>
              <w:spacing w:after="20"/>
              <w:ind w:left="20"/>
              <w:jc w:val="both"/>
            </w:pPr>
            <w:r>
              <w:rPr>
                <w:rFonts w:ascii="Times New Roman"/>
                <w:b w:val="false"/>
                <w:i w:val="false"/>
                <w:color w:val="000000"/>
                <w:sz w:val="20"/>
              </w:rPr>
              <w:t xml:space="preserve">
ҚазақстанРеспубликасы – 8,00 млн. рубль; </w:t>
            </w:r>
          </w:p>
          <w:p>
            <w:pPr>
              <w:spacing w:after="20"/>
              <w:ind w:left="20"/>
              <w:jc w:val="both"/>
            </w:pPr>
            <w:r>
              <w:rPr>
                <w:rFonts w:ascii="Times New Roman"/>
                <w:b w:val="false"/>
                <w:i w:val="false"/>
                <w:color w:val="000000"/>
                <w:sz w:val="20"/>
              </w:rPr>
              <w:t xml:space="preserve">
ҚырғызРеспубликасы – 6,37 млн. рубль; </w:t>
            </w:r>
          </w:p>
          <w:p>
            <w:pPr>
              <w:spacing w:after="20"/>
              <w:ind w:left="20"/>
              <w:jc w:val="both"/>
            </w:pPr>
            <w:r>
              <w:rPr>
                <w:rFonts w:ascii="Times New Roman"/>
                <w:b w:val="false"/>
                <w:i w:val="false"/>
                <w:color w:val="000000"/>
                <w:sz w:val="20"/>
              </w:rPr>
              <w:t xml:space="preserve">
РесейФедерациясы – 30,90 млн. рубль. </w:t>
            </w:r>
          </w:p>
          <w:p>
            <w:pPr>
              <w:spacing w:after="20"/>
              <w:ind w:left="20"/>
              <w:jc w:val="both"/>
            </w:pPr>
            <w:r>
              <w:rPr>
                <w:rFonts w:ascii="Times New Roman"/>
                <w:b w:val="false"/>
                <w:i w:val="false"/>
                <w:color w:val="000000"/>
                <w:sz w:val="20"/>
              </w:rPr>
              <w:t>
Мүше мемлекеттер бюджеттерінің қаражаты есебінен қаржыландыру орындылығы, көлемі және мерзімдері туралы шешімді мүше мемлекеттер ұлттық деңгейде өздерінің ұлттық заңнамаларына сәйкес қабылдайды.</w:t>
            </w:r>
          </w:p>
          <w:p>
            <w:pPr>
              <w:spacing w:after="20"/>
              <w:ind w:left="20"/>
              <w:jc w:val="both"/>
            </w:pPr>
            <w:r>
              <w:rPr>
                <w:rFonts w:ascii="Times New Roman"/>
                <w:b w:val="false"/>
                <w:i w:val="false"/>
                <w:color w:val="000000"/>
                <w:sz w:val="20"/>
              </w:rPr>
              <w:t>
Еуразиялық желінің ұлттық компоненттерінің коммерциялық сервистерін құруға және дамытуға және оларды Еуразиялық желімен интеграциялауға, сондай-ақ Еуразиялық желінің қатысушылары арасындағы операцияларды жасауға арналған сауда алаңдарының жұмыс істеуін қамтамасыз етуге жұмсалатын сервис-провайдерлердің қаражаты – 372,00 млн. рубль (шамамен)</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