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8e23" w14:textId="f028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жылғы Еуразиялық экономикалық одаққа мүше мемлекеттер арасындағы өзара сауданың жай-күйі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1 ақпандағы № 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одаққа мүше мемлекеттердің үкіметтері, орталық (ұлттық) банктері (келісу бойынша) Еуразиялық экономикалық комиссияның "</w:t>
      </w:r>
      <w:r>
        <w:rPr>
          <w:rFonts w:ascii="Times New Roman"/>
          <w:b w:val="false"/>
          <w:i/>
          <w:color w:val="000000"/>
          <w:sz w:val="28"/>
        </w:rPr>
        <w:t xml:space="preserve">2018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одаққа мүше мемлекеттер арасындағы өзара сауданың жай-күйі </w:t>
      </w:r>
      <w:r>
        <w:rPr>
          <w:rFonts w:ascii="Times New Roman"/>
          <w:b w:val="false"/>
          <w:i/>
          <w:color w:val="000000"/>
          <w:sz w:val="28"/>
        </w:rPr>
        <w:t>туралы"  баяндамасын (ақпараттық материал ретінде қоса беріліп отыр) назарға 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Өкімнің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баяндаманы Еуразиялық экономикалық одақтың ресми сайтында орналастырсын;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үкіметтерімен бірлесіп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одақтың ішкі нарығындағы тосқауылдарды, алып қоюларды және шектеулерді жою жөніндегі жұмысты жандандырсын;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одаққа мүше мемлекеттер арасындағы өзара сауданың жай-күйі </w:t>
      </w:r>
      <w:r>
        <w:rPr>
          <w:rFonts w:ascii="Times New Roman"/>
          <w:b w:val="false"/>
          <w:i/>
          <w:color w:val="000000"/>
          <w:sz w:val="28"/>
        </w:rPr>
        <w:t>туралы" кезекті баяндамада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тосқауылдардың, алып қоюлардың және шектеулердің Еуразиялық экономикалық одаққа мүше мемлекеттер арасындағы өзара сауданы дамытуға әсерін ашып көрсетсін.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Өкім Еуразиялық экономикалық одақтың ресми сайтында жарияланған күнінен бастап күшіне енеді.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