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27b0" w14:textId="e482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"Жарылыс қаупі бар орталарда жұмыс істеуге арналған жабдықтың қауіпсіздігі туралы" Кеден одағы техникалық регламентінің (КО ТР 012/2011) талаптарын сақтау ерікті негізде қамтамасыз етілетін мемлекетаралық стандарттарды және "Жарылыс қаупі бар орталарда жұмыс істеуге арналған жабдықтың қауіпсіздігі туралы" Кеден одағының техникалық регламентінің (КО ТР 012/2011) талаптарын қолдану мен орындау және техникалық реттеу объектілерінің сәйкестігін бағалауды жүзеге асыру үшін қажет зерттеу (сынау) және өлшеу қағидалары мен әдістерін, соның ішінде үлгілерді іріктеп алу қағидасын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172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Қолдану нәтижесінде "Жарылыс қаупі бар орталарда жұмыс істеуге арналған жабдықтың қауіпсіздігі туралы" Кеден одағы техникалық регламентінің (КО ТР 012/2011) талаптарын сақтау ерікті негізде қамтамасыз етілетін мемлекетаралық стандарттарды және "Жарылыс қаупі бар орталарда жұмыс істеуге арналған жабдықтың қауіпсіздігі туралы" Кеден одағының техникалық регламентінің (КО ТР 012/2011) талаптарын қолдану мен орындау және техникалық реттеу объектілерінің сәйкестігін бағалауды жүзеге асыру үшін қажет зерттеу (сынау) және өлшеу қағидалары мен әдістерін, соның ішінде үлгілерді іріктеп алу қағидасын қамтитын мемлекетаралық стандарттарды әзірлеу (өзгерістер енгізу, қайта қарау) жөніндегі бағдарлама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"Қолдану нәтижесінде "Жарылыс қаупі бар орталарда жұмыс істеуге арналған жабдықтың қауіпсіздігі туралы" Кеден одағы техникалық регламентінің (КО ТР 012/2011) талаптарын сақтау ерікті негізде қамтамасыз етілетін мемлекетаралық стандарттарды және "Жарылыс қаупі бар орталарда жұмыс істеуге арналған жабдықтың қауіпсіздігі туралы" Кеден одағының техникалық регламентінің (КО ТР 012/2011) талаптарын қолдану мен орындау және өнімнің сәйкестігін бағалауды (растауды) жүзеге асыру үшін қажет зерттеу (сынау) және өлшеу қағидалары мен әдістерін, соның ішінде үлгілерді іріктеп алу қағидасын қамтитын мемлекетаралық стандарттарды әзірлеу (өзгерістер енгізу, қайта қарау) жөніндегі бағдарлама туралы" 2013 жылғы 9 сәуірдегі № 70 шешімінің күші жойылды деп танылсын. </w:t>
      </w:r>
    </w:p>
    <w:bookmarkEnd w:id="2"/>
    <w:bookmarkStart w:name="z6"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172 шешімімен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Қолдану нәтижесінде "Жарылыс қаупі бар орталарда жұмыс істеуге арналған жабдықтың қауіпсіздігі туралы" Кеден одағы техникалық регламентінің (КО ТР 012/2011) талаптарын сақтау ерікті негізде қамтамасыз етілетін мемлекетаралық стандарттарды және "Жарылыс қаупі бар орталарда жұмыс істеуге арналған жабдықтың қауіпсіздігі туралы" Кеден одағының техникалық регламентінің (КО ТР 012/2011) талаптарын қолдану мен орындау және техникалық реттеу объектілерінің сәйкестігін бағалауды жүзеге асыру үшін қажет зерттеу (сынау) және өлшеу қағидалары мен әдістерін, оның ішінде үлгілерді іріктеп алу қағидасын қамтитын мемлекетаралық стандарттарды әзірлеу (өзгерістер енгізу, қайта қарау) жөніндегі БАҒДАРЛАМА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жобасының атауы. Жұмыстар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29-2-бөлім: Газ талдағыштары. Жанғыш газдар мен оттегінің газ талдағыштарын таңдауға, монтаждауға, қолдануға және оларға техникалық қызмет көрсетуге қойылатын талаптар.</w:t>
            </w:r>
          </w:p>
          <w:p>
            <w:pPr>
              <w:spacing w:after="20"/>
              <w:ind w:left="20"/>
              <w:jc w:val="both"/>
            </w:pPr>
            <w:r>
              <w:rPr>
                <w:rFonts w:ascii="Times New Roman"/>
                <w:b w:val="false"/>
                <w:i w:val="false"/>
                <w:color w:val="000000"/>
                <w:sz w:val="20"/>
              </w:rPr>
              <w:t>
IEC 60079-29-2:2015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Жарылутың алдын алу және одан қорғау. 1-бөлім. Негізгі тұжырымдамалар мен әдіснамалар.</w:t>
            </w:r>
          </w:p>
          <w:p>
            <w:pPr>
              <w:spacing w:after="20"/>
              <w:ind w:left="20"/>
              <w:jc w:val="both"/>
            </w:pPr>
            <w:r>
              <w:rPr>
                <w:rFonts w:ascii="Times New Roman"/>
                <w:b w:val="false"/>
                <w:i w:val="false"/>
                <w:color w:val="000000"/>
                <w:sz w:val="20"/>
              </w:rPr>
              <w:t>
EN 1127-1:2019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Жарылутың алдын алу және одан қорғау. 2-бөлім. Тау-кен жұмыстарының негізгі тұжырымдамалары мен әдіснамасы.</w:t>
            </w:r>
          </w:p>
          <w:p>
            <w:pPr>
              <w:spacing w:after="20"/>
              <w:ind w:left="20"/>
              <w:jc w:val="both"/>
            </w:pPr>
            <w:r>
              <w:rPr>
                <w:rFonts w:ascii="Times New Roman"/>
                <w:b w:val="false"/>
                <w:i w:val="false"/>
                <w:color w:val="000000"/>
                <w:sz w:val="20"/>
              </w:rPr>
              <w:t>
EN 1127-2:2014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36-бөлім. Жарылыс қаупі бар ортаға арналған электрлік емес жабдық. Жалпы талаптар және сынау әдістері.</w:t>
            </w:r>
          </w:p>
          <w:p>
            <w:pPr>
              <w:spacing w:after="20"/>
              <w:ind w:left="20"/>
              <w:jc w:val="both"/>
            </w:pPr>
            <w:r>
              <w:rPr>
                <w:rFonts w:ascii="Times New Roman"/>
                <w:b w:val="false"/>
                <w:i w:val="false"/>
                <w:color w:val="000000"/>
                <w:sz w:val="20"/>
              </w:rPr>
              <w:t>
ISO 80079-36:2016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42-бөлім. Ex жабдықтарының ықтимал тұтану көздерін бақылауға арналған электрлік қауіпсіздік құрылғылары.</w:t>
            </w:r>
          </w:p>
          <w:p>
            <w:pPr>
              <w:spacing w:after="20"/>
              <w:ind w:left="20"/>
              <w:jc w:val="both"/>
            </w:pPr>
            <w:r>
              <w:rPr>
                <w:rFonts w:ascii="Times New Roman"/>
                <w:b w:val="false"/>
                <w:i w:val="false"/>
                <w:color w:val="000000"/>
                <w:sz w:val="20"/>
              </w:rPr>
              <w:t>
IEC/TS 60079-42.2019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46-бөлім. Жабдық тораптары.</w:t>
            </w:r>
          </w:p>
          <w:p>
            <w:pPr>
              <w:spacing w:after="20"/>
              <w:ind w:left="20"/>
              <w:jc w:val="both"/>
            </w:pPr>
            <w:r>
              <w:rPr>
                <w:rFonts w:ascii="Times New Roman"/>
                <w:b w:val="false"/>
                <w:i w:val="false"/>
                <w:color w:val="000000"/>
                <w:sz w:val="20"/>
              </w:rPr>
              <w:t>
IEC/TS 60079-46:2017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15-бөлім. "n" жарылыстан қорғау түріндегі жабдық.</w:t>
            </w:r>
          </w:p>
          <w:p>
            <w:pPr>
              <w:spacing w:after="20"/>
              <w:ind w:left="20"/>
              <w:jc w:val="both"/>
            </w:pPr>
            <w:r>
              <w:rPr>
                <w:rFonts w:ascii="Times New Roman"/>
                <w:b w:val="false"/>
                <w:i w:val="false"/>
                <w:color w:val="000000"/>
                <w:sz w:val="20"/>
              </w:rPr>
              <w:t>
IEC негізінде  МемСТ 30852.14-2002 және МемСТ 31610.15-2012 орнына МемСТ 60079-15:2017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11-бөлім. Жарылыстан қорғайтын "I" ұшқын қауіпсіз электр тізбегі" түріндегі жабдық.</w:t>
            </w:r>
          </w:p>
          <w:p>
            <w:pPr>
              <w:spacing w:after="20"/>
              <w:ind w:left="20"/>
              <w:jc w:val="both"/>
            </w:pPr>
            <w:r>
              <w:rPr>
                <w:rFonts w:ascii="Times New Roman"/>
                <w:b w:val="false"/>
                <w:i w:val="false"/>
                <w:color w:val="000000"/>
                <w:sz w:val="20"/>
              </w:rPr>
              <w:t xml:space="preserve">
IEC 60079-11:2011/IS2:2016 </w:t>
            </w:r>
          </w:p>
          <w:p>
            <w:pPr>
              <w:spacing w:after="20"/>
              <w:ind w:left="20"/>
              <w:jc w:val="both"/>
            </w:pPr>
            <w:r>
              <w:rPr>
                <w:rFonts w:ascii="Times New Roman"/>
                <w:b w:val="false"/>
                <w:i w:val="false"/>
                <w:color w:val="000000"/>
                <w:sz w:val="20"/>
              </w:rPr>
              <w:t xml:space="preserve">
IEC 60079-11:2011/IS3:2016, </w:t>
            </w:r>
          </w:p>
          <w:p>
            <w:pPr>
              <w:spacing w:after="20"/>
              <w:ind w:left="20"/>
              <w:jc w:val="both"/>
            </w:pPr>
            <w:r>
              <w:rPr>
                <w:rFonts w:ascii="Times New Roman"/>
                <w:b w:val="false"/>
                <w:i w:val="false"/>
                <w:color w:val="000000"/>
                <w:sz w:val="20"/>
              </w:rPr>
              <w:t>IEC 60079-11:2011/Cor. 1:2012,</w:t>
            </w:r>
          </w:p>
          <w:p>
            <w:pPr>
              <w:spacing w:after="20"/>
              <w:ind w:left="20"/>
              <w:jc w:val="both"/>
            </w:pPr>
            <w:r>
              <w:rPr>
                <w:rFonts w:ascii="Times New Roman"/>
                <w:b w:val="false"/>
                <w:i w:val="false"/>
                <w:color w:val="000000"/>
                <w:sz w:val="20"/>
              </w:rPr>
              <w:t>
IEC 60079-11:2011/IS1:2014,</w:t>
            </w:r>
          </w:p>
          <w:p>
            <w:pPr>
              <w:spacing w:after="20"/>
              <w:ind w:left="20"/>
              <w:jc w:val="both"/>
            </w:pPr>
            <w:r>
              <w:rPr>
                <w:rFonts w:ascii="Times New Roman"/>
                <w:b w:val="false"/>
                <w:i w:val="false"/>
                <w:color w:val="000000"/>
                <w:sz w:val="20"/>
              </w:rPr>
              <w:t xml:space="preserve">
МемСТ 31610.11-2014 ескере отырып, </w:t>
            </w:r>
          </w:p>
          <w:p>
            <w:pPr>
              <w:spacing w:after="20"/>
              <w:ind w:left="20"/>
              <w:jc w:val="both"/>
            </w:pPr>
            <w:r>
              <w:rPr>
                <w:rFonts w:ascii="Times New Roman"/>
                <w:b w:val="false"/>
                <w:i w:val="false"/>
                <w:color w:val="000000"/>
                <w:sz w:val="20"/>
              </w:rPr>
              <w:t>МемСТ 31610.11-2014-ке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20-1-бөлім. Газ бен буды жіктеуге арналған заттардың сипаттамасы. Сынақ әдістері және деректер.</w:t>
            </w:r>
          </w:p>
          <w:p>
            <w:pPr>
              <w:spacing w:after="20"/>
              <w:ind w:left="20"/>
              <w:jc w:val="both"/>
            </w:pPr>
            <w:r>
              <w:rPr>
                <w:rFonts w:ascii="Times New Roman"/>
                <w:b w:val="false"/>
                <w:i w:val="false"/>
                <w:color w:val="000000"/>
                <w:sz w:val="20"/>
              </w:rPr>
              <w:t>
ISO/IEC 80079-20-1: 2017</w:t>
            </w:r>
          </w:p>
          <w:p>
            <w:pPr>
              <w:spacing w:after="20"/>
              <w:ind w:left="20"/>
              <w:jc w:val="both"/>
            </w:pPr>
            <w:r>
              <w:rPr>
                <w:rFonts w:ascii="Times New Roman"/>
                <w:b w:val="false"/>
                <w:i w:val="false"/>
                <w:color w:val="000000"/>
                <w:sz w:val="20"/>
              </w:rPr>
              <w:t xml:space="preserve">
және ISO/IEC 80079-20-1: 2017 / Cor.1: 2018 негізінде </w:t>
            </w:r>
          </w:p>
          <w:p>
            <w:pPr>
              <w:spacing w:after="20"/>
              <w:ind w:left="20"/>
              <w:jc w:val="both"/>
            </w:pPr>
            <w:r>
              <w:rPr>
                <w:rFonts w:ascii="Times New Roman"/>
                <w:b w:val="false"/>
                <w:i w:val="false"/>
                <w:color w:val="000000"/>
                <w:sz w:val="20"/>
              </w:rPr>
              <w:t>
МемСТ 30852.2 - 2002, МЕМСТ 30852.5-2002,</w:t>
            </w:r>
          </w:p>
          <w:p>
            <w:pPr>
              <w:spacing w:after="20"/>
              <w:ind w:left="20"/>
              <w:jc w:val="both"/>
            </w:pPr>
            <w:r>
              <w:rPr>
                <w:rFonts w:ascii="Times New Roman"/>
                <w:b w:val="false"/>
                <w:i w:val="false"/>
                <w:color w:val="000000"/>
                <w:sz w:val="20"/>
              </w:rPr>
              <w:t>
МемСТ 30852.11 - 2002, МЕМСТ 30852.19-2002</w:t>
            </w:r>
          </w:p>
          <w:p>
            <w:pPr>
              <w:spacing w:after="20"/>
              <w:ind w:left="20"/>
              <w:jc w:val="both"/>
            </w:pPr>
            <w:r>
              <w:rPr>
                <w:rFonts w:ascii="Times New Roman"/>
                <w:b w:val="false"/>
                <w:i w:val="false"/>
                <w:color w:val="000000"/>
                <w:sz w:val="20"/>
              </w:rPr>
              <w:t>
және МемСТ 31610.1.1-2012 орнына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газ турбиналы. Қауіпсіздік талаптары.</w:t>
            </w:r>
          </w:p>
          <w:p>
            <w:pPr>
              <w:spacing w:after="20"/>
              <w:ind w:left="20"/>
              <w:jc w:val="both"/>
            </w:pPr>
            <w:r>
              <w:rPr>
                <w:rFonts w:ascii="Times New Roman"/>
                <w:b w:val="false"/>
                <w:i w:val="false"/>
                <w:color w:val="000000"/>
                <w:sz w:val="20"/>
              </w:rPr>
              <w:t>
МЕМСТ Р 55393-2012 (ISO 21789:2009)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29-4 бөлім. Газ талдағыштар. Ашық оптикалық арнасы бар жанғыш газдардың газ талдағыштарын сынаудың жалпы техникалық талаптары мен әдістері.</w:t>
            </w:r>
          </w:p>
          <w:p>
            <w:pPr>
              <w:spacing w:after="20"/>
              <w:ind w:left="20"/>
              <w:jc w:val="both"/>
            </w:pPr>
            <w:r>
              <w:rPr>
                <w:rFonts w:ascii="Times New Roman"/>
                <w:b w:val="false"/>
                <w:i w:val="false"/>
                <w:color w:val="000000"/>
                <w:sz w:val="20"/>
              </w:rPr>
              <w:t>
МемСТ Р 52350.29.4-2011 (IEC 60079-29-4: 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1-бөлім. Мөлшерлеу сорғыларының, отын тарату құрылғыларының және қашықтықтан сорғы агрегаттарының конструкциясы мен жұмысына қойылатын қауіпсіздік талаптары.</w:t>
            </w:r>
          </w:p>
          <w:p>
            <w:pPr>
              <w:spacing w:after="20"/>
              <w:ind w:left="20"/>
              <w:jc w:val="both"/>
            </w:pPr>
            <w:r>
              <w:rPr>
                <w:rFonts w:ascii="Times New Roman"/>
                <w:b w:val="false"/>
                <w:i w:val="false"/>
                <w:color w:val="000000"/>
                <w:sz w:val="20"/>
              </w:rPr>
              <w:t xml:space="preserve">
EN 13617-1:2012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19-бөлім. Электр жабдықтарын жөндеу, тексеру және қалпына келтіру.</w:t>
            </w:r>
          </w:p>
          <w:p>
            <w:pPr>
              <w:spacing w:after="20"/>
              <w:ind w:left="20"/>
              <w:jc w:val="both"/>
            </w:pPr>
            <w:r>
              <w:rPr>
                <w:rFonts w:ascii="Times New Roman"/>
                <w:b w:val="false"/>
                <w:i w:val="false"/>
                <w:color w:val="000000"/>
                <w:sz w:val="20"/>
              </w:rPr>
              <w:t xml:space="preserve">
IEC60079-19:2019 негізіндегі МемСТ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 34-бөлім. Ex жабдықтарын өндіру үшін сапа жүйелерін қолдану.</w:t>
            </w:r>
          </w:p>
          <w:p>
            <w:pPr>
              <w:spacing w:after="20"/>
              <w:ind w:left="20"/>
              <w:jc w:val="both"/>
            </w:pPr>
            <w:r>
              <w:rPr>
                <w:rFonts w:ascii="Times New Roman"/>
                <w:b w:val="false"/>
                <w:i w:val="false"/>
                <w:color w:val="000000"/>
                <w:sz w:val="20"/>
              </w:rPr>
              <w:t>
ISO/IEC80079-34: 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