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7802" w14:textId="7397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Өрнектеуге арналған фольгаға қатысты Армения Республикасы оларға қатысты өтпелі кезең ішінде Еуразиялық экономикалық одақтың Бірыңғай кедендік тарифінің ставкаларынан ерекшеленетін кедендік әкелу баждарының ставкаларын қолданатын тауарлар мен ставкалардың тізбесіне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21 ақпандағы № 15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Еуразиялық экономикалық комиссия туралы ереженің (2014 жылғы 29 мамырдағы Еуразиялық экономикалық одақ туралы шартқа № 1 қосымша) 16 және 18-тармақтарына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Армения Республикасы өтпелі кезең ішінде Еуразиялық экономикалық комиссия кеңесінің 2014 жылғы 10 желтоқсандағы № 113 шешімімен бекітілген Еуразиялық экономикалық одақтың Бірыңғай кедендік тарифінің ставкаларынан ерекшеленетін кедендік әкелу баждарының ставкаларын қолданатын тауарлар мен ставкалардың тізбесіндегі 2 сілтемедегі "2019 жылғы 31 тамызды қоса алғанда" деген сөздер "2022 жылғы 31 тамызды қоса алғанда" деген сөздермен ауыстырылсын.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 және 2019 жылғы 1 қыркүйектен бастап туындайтын құқықтық қатынастарда қолданылады.</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i w:val="false"/>
                <w:color w:val="000000"/>
                <w:sz w:val="20"/>
              </w:rPr>
              <w:t>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 Асрандиев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