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b999" w14:textId="929b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және аса маңызды импорт тауарларының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2020 жылғы 3 сәуірдегі № 33 шешімі.</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2014 жылғы 29 мамырдағы Еуразиялық экономикалық одақ туралы шарттың 43 және 45-баптарына, Еуразиялық экономикалық комиссия туралы ереженің (2014 жылғы 29 мамырдағы Еуразиялық экономикалық одақ туралы шартқа № 1 қосымша) 16 және 18-тармақтарына,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және 16-тармақтарына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Кеден одағы Комиссиясының "Еуразиялық экономикалық одақтың Бірыңғай кедендік-тарифтік реттеуі туралы" 2009 жылғы 27 қарашадағы №130 шешімінің 7-тармағы мынадай мазмұндағы 7.1.33-тармақпен толықтырылсын:</w:t>
      </w:r>
    </w:p>
    <w:bookmarkEnd w:id="1"/>
    <w:bookmarkStart w:name="z3" w:id="2"/>
    <w:p>
      <w:pPr>
        <w:spacing w:after="0"/>
        <w:ind w:left="0"/>
        <w:jc w:val="both"/>
      </w:pPr>
      <w:r>
        <w:rPr>
          <w:rFonts w:ascii="Times New Roman"/>
          <w:b w:val="false"/>
          <w:i w:val="false"/>
          <w:color w:val="000000"/>
          <w:sz w:val="28"/>
        </w:rPr>
        <w:t>
      "7.1.33. Еуразиялық экономикалық комиссия Кеңесінің 2020 жылғы 3 сәуірдегі № 33 шешімімен бекітілген Аса маңызды импорт тауарларының тізбесіне енгізілген Одақтың кедендік аумағына әкелінетін тауарлар.</w:t>
      </w:r>
    </w:p>
    <w:bookmarkEnd w:id="2"/>
    <w:bookmarkStart w:name="z4" w:id="3"/>
    <w:p>
      <w:pPr>
        <w:spacing w:after="0"/>
        <w:ind w:left="0"/>
        <w:jc w:val="both"/>
      </w:pPr>
      <w:r>
        <w:rPr>
          <w:rFonts w:ascii="Times New Roman"/>
          <w:b w:val="false"/>
          <w:i w:val="false"/>
          <w:color w:val="000000"/>
          <w:sz w:val="28"/>
        </w:rPr>
        <w:t>
      Көрсетілген жеңілдік ішкі тұтыну үшін шығарудың кедендік рәсімімен орналастыру үшін тауарларға арналған декларацияны қоса алғанда 2020 жылғы 30 маусымға дейінгі аралықта тіркеу шартымен беріледі.".</w:t>
      </w:r>
    </w:p>
    <w:bookmarkEnd w:id="3"/>
    <w:bookmarkStart w:name="z5" w:id="4"/>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Тауарлардың жекелеген санаттарын Кеден одағының бірыңғай кедендік аумағына әкелу кезінде кедендік баждарды төлеуден босатуды қолдану тәртібінің 15-тармағындағы "7.1.32" деген цифрлар "7.1.33" деген цифрлармен ауыстырылсын.</w:t>
      </w:r>
    </w:p>
    <w:bookmarkEnd w:id="4"/>
    <w:bookmarkStart w:name="z6" w:id="5"/>
    <w:p>
      <w:pPr>
        <w:spacing w:after="0"/>
        <w:ind w:left="0"/>
        <w:jc w:val="both"/>
      </w:pPr>
      <w:r>
        <w:rPr>
          <w:rFonts w:ascii="Times New Roman"/>
          <w:b w:val="false"/>
          <w:i w:val="false"/>
          <w:color w:val="000000"/>
          <w:sz w:val="28"/>
        </w:rPr>
        <w:t>
      3. Қоса беріліп отырған аса маңызды импорт тауарларының тізбесі бекітілсін.</w:t>
      </w:r>
    </w:p>
    <w:bookmarkEnd w:id="5"/>
    <w:bookmarkStart w:name="z7" w:id="6"/>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 және 2020 жылғы 1 сәуірден бастап туындайтын құқықтық қатынастарда қолданылады.</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w:t>
            </w:r>
            <w:r>
              <w:rPr>
                <w:rFonts w:ascii="Times New Roman"/>
                <w:b/>
                <w:i w:val="false"/>
                <w:color w:val="000000"/>
                <w:sz w:val="20"/>
              </w:rPr>
              <w:t>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3 сәуірдегі</w:t>
            </w:r>
            <w:r>
              <w:br/>
            </w:r>
            <w:r>
              <w:rPr>
                <w:rFonts w:ascii="Times New Roman"/>
                <w:b w:val="false"/>
                <w:i w:val="false"/>
                <w:color w:val="000000"/>
                <w:sz w:val="20"/>
              </w:rPr>
              <w:t>№ 33 шешімімен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Аса </w:t>
      </w:r>
      <w:r>
        <w:rPr>
          <w:rFonts w:ascii="Times New Roman"/>
          <w:b/>
          <w:i w:val="false"/>
          <w:color w:val="000000"/>
          <w:sz w:val="28"/>
        </w:rPr>
        <w:t>маңызды</w:t>
      </w:r>
      <w:r>
        <w:rPr>
          <w:rFonts w:ascii="Times New Roman"/>
          <w:b/>
          <w:i w:val="false"/>
          <w:color w:val="000000"/>
          <w:sz w:val="28"/>
        </w:rPr>
        <w:t xml:space="preserve"> импорт </w:t>
      </w:r>
      <w:r>
        <w:rPr>
          <w:rFonts w:ascii="Times New Roman"/>
          <w:b/>
          <w:i w:val="false"/>
          <w:color w:val="000000"/>
          <w:sz w:val="28"/>
        </w:rPr>
        <w:t>тауарларының</w:t>
      </w:r>
      <w:r>
        <w:rPr>
          <w:rFonts w:ascii="Times New Roman"/>
          <w:b/>
          <w:i w:val="false"/>
          <w:color w:val="00000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Сарымсақ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Қырыққабат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w:t>
            </w:r>
          </w:p>
          <w:p>
            <w:pPr>
              <w:spacing w:after="20"/>
              <w:ind w:left="20"/>
              <w:jc w:val="both"/>
            </w:pPr>
            <w:r>
              <w:rPr>
                <w:rFonts w:ascii="Times New Roman"/>
                <w:b w:val="false"/>
                <w:i w:val="false"/>
                <w:color w:val="000000"/>
                <w:sz w:val="20"/>
              </w:rPr>
              <w:t>
0710 80 510 0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p>
            <w:pPr>
              <w:spacing w:after="20"/>
              <w:ind w:left="20"/>
              <w:jc w:val="both"/>
            </w:pPr>
            <w:r>
              <w:rPr>
                <w:rFonts w:ascii="Times New Roman"/>
                <w:b w:val="false"/>
                <w:i w:val="false"/>
                <w:color w:val="000000"/>
                <w:sz w:val="20"/>
              </w:rPr>
              <w:t>
1006 10 270 0,</w:t>
            </w:r>
          </w:p>
          <w:p>
            <w:pPr>
              <w:spacing w:after="20"/>
              <w:ind w:left="20"/>
              <w:jc w:val="both"/>
            </w:pPr>
            <w:r>
              <w:rPr>
                <w:rFonts w:ascii="Times New Roman"/>
                <w:b w:val="false"/>
                <w:i w:val="false"/>
                <w:color w:val="000000"/>
                <w:sz w:val="20"/>
              </w:rPr>
              <w:t>
1006 10 960 0,</w:t>
            </w:r>
          </w:p>
          <w:p>
            <w:pPr>
              <w:spacing w:after="20"/>
              <w:ind w:left="20"/>
              <w:jc w:val="both"/>
            </w:pPr>
            <w:r>
              <w:rPr>
                <w:rFonts w:ascii="Times New Roman"/>
                <w:b w:val="false"/>
                <w:i w:val="false"/>
                <w:color w:val="000000"/>
                <w:sz w:val="20"/>
              </w:rPr>
              <w:t>
1006 10 980 0,</w:t>
            </w:r>
          </w:p>
          <w:p>
            <w:pPr>
              <w:spacing w:after="20"/>
              <w:ind w:left="20"/>
              <w:jc w:val="both"/>
            </w:pPr>
            <w:r>
              <w:rPr>
                <w:rFonts w:ascii="Times New Roman"/>
                <w:b w:val="false"/>
                <w:i w:val="false"/>
                <w:color w:val="000000"/>
                <w:sz w:val="20"/>
              </w:rPr>
              <w:t>
1006 20 150 0,</w:t>
            </w:r>
          </w:p>
          <w:p>
            <w:pPr>
              <w:spacing w:after="20"/>
              <w:ind w:left="20"/>
              <w:jc w:val="both"/>
            </w:pPr>
            <w:r>
              <w:rPr>
                <w:rFonts w:ascii="Times New Roman"/>
                <w:b w:val="false"/>
                <w:i w:val="false"/>
                <w:color w:val="000000"/>
                <w:sz w:val="20"/>
              </w:rPr>
              <w:t>
1006 20 170 0,</w:t>
            </w:r>
          </w:p>
          <w:p>
            <w:pPr>
              <w:spacing w:after="20"/>
              <w:ind w:left="20"/>
              <w:jc w:val="both"/>
            </w:pPr>
            <w:r>
              <w:rPr>
                <w:rFonts w:ascii="Times New Roman"/>
                <w:b w:val="false"/>
                <w:i w:val="false"/>
                <w:color w:val="000000"/>
                <w:sz w:val="20"/>
              </w:rPr>
              <w:t>
1006 20 960 0,</w:t>
            </w:r>
          </w:p>
          <w:p>
            <w:pPr>
              <w:spacing w:after="20"/>
              <w:ind w:left="20"/>
              <w:jc w:val="both"/>
            </w:pPr>
            <w:r>
              <w:rPr>
                <w:rFonts w:ascii="Times New Roman"/>
                <w:b w:val="false"/>
                <w:i w:val="false"/>
                <w:color w:val="000000"/>
                <w:sz w:val="20"/>
              </w:rPr>
              <w:t>
1006 20 980 0,</w:t>
            </w:r>
          </w:p>
          <w:p>
            <w:pPr>
              <w:spacing w:after="20"/>
              <w:ind w:left="20"/>
              <w:jc w:val="both"/>
            </w:pPr>
            <w:r>
              <w:rPr>
                <w:rFonts w:ascii="Times New Roman"/>
                <w:b w:val="false"/>
                <w:i w:val="false"/>
                <w:color w:val="000000"/>
                <w:sz w:val="20"/>
              </w:rPr>
              <w:t>
1006 30 250 0,</w:t>
            </w:r>
          </w:p>
          <w:p>
            <w:pPr>
              <w:spacing w:after="20"/>
              <w:ind w:left="20"/>
              <w:jc w:val="both"/>
            </w:pPr>
            <w:r>
              <w:rPr>
                <w:rFonts w:ascii="Times New Roman"/>
                <w:b w:val="false"/>
                <w:i w:val="false"/>
                <w:color w:val="000000"/>
                <w:sz w:val="20"/>
              </w:rPr>
              <w:t>
1006 30 270 0,</w:t>
            </w:r>
          </w:p>
          <w:p>
            <w:pPr>
              <w:spacing w:after="20"/>
              <w:ind w:left="20"/>
              <w:jc w:val="both"/>
            </w:pPr>
            <w:r>
              <w:rPr>
                <w:rFonts w:ascii="Times New Roman"/>
                <w:b w:val="false"/>
                <w:i w:val="false"/>
                <w:color w:val="000000"/>
                <w:sz w:val="20"/>
              </w:rPr>
              <w:t>
1006 30 460 0,</w:t>
            </w:r>
          </w:p>
          <w:p>
            <w:pPr>
              <w:spacing w:after="20"/>
              <w:ind w:left="20"/>
              <w:jc w:val="both"/>
            </w:pPr>
            <w:r>
              <w:rPr>
                <w:rFonts w:ascii="Times New Roman"/>
                <w:b w:val="false"/>
                <w:i w:val="false"/>
                <w:color w:val="000000"/>
                <w:sz w:val="20"/>
              </w:rPr>
              <w:t>
1006 30 480 0,</w:t>
            </w:r>
          </w:p>
          <w:p>
            <w:pPr>
              <w:spacing w:after="20"/>
              <w:ind w:left="20"/>
              <w:jc w:val="both"/>
            </w:pPr>
            <w:r>
              <w:rPr>
                <w:rFonts w:ascii="Times New Roman"/>
                <w:b w:val="false"/>
                <w:i w:val="false"/>
                <w:color w:val="000000"/>
                <w:sz w:val="20"/>
              </w:rPr>
              <w:t>
1006 30 650 0,</w:t>
            </w:r>
          </w:p>
          <w:p>
            <w:pPr>
              <w:spacing w:after="20"/>
              <w:ind w:left="20"/>
              <w:jc w:val="both"/>
            </w:pPr>
            <w:r>
              <w:rPr>
                <w:rFonts w:ascii="Times New Roman"/>
                <w:b w:val="false"/>
                <w:i w:val="false"/>
                <w:color w:val="000000"/>
                <w:sz w:val="20"/>
              </w:rPr>
              <w:t>
1006 30 670 9,</w:t>
            </w:r>
          </w:p>
          <w:p>
            <w:pPr>
              <w:spacing w:after="20"/>
              <w:ind w:left="20"/>
              <w:jc w:val="both"/>
            </w:pPr>
            <w:r>
              <w:rPr>
                <w:rFonts w:ascii="Times New Roman"/>
                <w:b w:val="false"/>
                <w:i w:val="false"/>
                <w:color w:val="000000"/>
                <w:sz w:val="20"/>
              </w:rPr>
              <w:t>
1006 30 960 0,</w:t>
            </w:r>
          </w:p>
          <w:p>
            <w:pPr>
              <w:spacing w:after="20"/>
              <w:ind w:left="20"/>
              <w:jc w:val="both"/>
            </w:pPr>
            <w:r>
              <w:rPr>
                <w:rFonts w:ascii="Times New Roman"/>
                <w:b w:val="false"/>
                <w:i w:val="false"/>
                <w:color w:val="000000"/>
                <w:sz w:val="20"/>
              </w:rPr>
              <w:t>
1006 30 980 9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дәнді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9-дан,</w:t>
            </w:r>
          </w:p>
          <w:p>
            <w:pPr>
              <w:spacing w:after="20"/>
              <w:ind w:left="20"/>
              <w:jc w:val="both"/>
            </w:pPr>
            <w:r>
              <w:rPr>
                <w:rFonts w:ascii="Times New Roman"/>
                <w:b w:val="false"/>
                <w:i w:val="false"/>
                <w:color w:val="000000"/>
                <w:sz w:val="20"/>
              </w:rPr>
              <w:t xml:space="preserve"> 1104 29 300 0-ден,</w:t>
            </w:r>
          </w:p>
          <w:p>
            <w:pPr>
              <w:spacing w:after="20"/>
              <w:ind w:left="20"/>
              <w:jc w:val="both"/>
            </w:pPr>
            <w:r>
              <w:rPr>
                <w:rFonts w:ascii="Times New Roman"/>
                <w:b w:val="false"/>
                <w:i w:val="false"/>
                <w:color w:val="000000"/>
                <w:sz w:val="20"/>
              </w:rPr>
              <w:t xml:space="preserve"> 1904 90 800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Ерте жастағы балаларға арналған дайын тамақ өнімдері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алмастырғыштарды өндіру үшін негіз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p>
            <w:pPr>
              <w:spacing w:after="20"/>
              <w:ind w:left="20"/>
              <w:jc w:val="both"/>
            </w:pPr>
            <w:r>
              <w:rPr>
                <w:rFonts w:ascii="Times New Roman"/>
                <w:b w:val="false"/>
                <w:i w:val="false"/>
                <w:color w:val="000000"/>
                <w:sz w:val="20"/>
              </w:rPr>
              <w:t>2009 41 920 1,</w:t>
            </w:r>
          </w:p>
          <w:p>
            <w:pPr>
              <w:spacing w:after="20"/>
              <w:ind w:left="20"/>
              <w:jc w:val="both"/>
            </w:pPr>
            <w:r>
              <w:rPr>
                <w:rFonts w:ascii="Times New Roman"/>
                <w:b w:val="false"/>
                <w:i w:val="false"/>
                <w:color w:val="000000"/>
                <w:sz w:val="20"/>
              </w:rPr>
              <w:t>2009 50 100 1,</w:t>
            </w:r>
          </w:p>
          <w:p>
            <w:pPr>
              <w:spacing w:after="20"/>
              <w:ind w:left="20"/>
              <w:jc w:val="both"/>
            </w:pPr>
            <w:r>
              <w:rPr>
                <w:rFonts w:ascii="Times New Roman"/>
                <w:b w:val="false"/>
                <w:i w:val="false"/>
                <w:color w:val="000000"/>
                <w:sz w:val="20"/>
              </w:rPr>
              <w:t>2009 61 100 2,</w:t>
            </w:r>
          </w:p>
          <w:p>
            <w:pPr>
              <w:spacing w:after="20"/>
              <w:ind w:left="20"/>
              <w:jc w:val="both"/>
            </w:pPr>
            <w:r>
              <w:rPr>
                <w:rFonts w:ascii="Times New Roman"/>
                <w:b w:val="false"/>
                <w:i w:val="false"/>
                <w:color w:val="000000"/>
                <w:sz w:val="20"/>
              </w:rPr>
              <w:t>2009 71 200 1,</w:t>
            </w:r>
          </w:p>
          <w:p>
            <w:pPr>
              <w:spacing w:after="20"/>
              <w:ind w:left="20"/>
              <w:jc w:val="both"/>
            </w:pPr>
            <w:r>
              <w:rPr>
                <w:rFonts w:ascii="Times New Roman"/>
                <w:b w:val="false"/>
                <w:i w:val="false"/>
                <w:color w:val="000000"/>
                <w:sz w:val="20"/>
              </w:rPr>
              <w:t>2009 90 390 1,</w:t>
            </w:r>
          </w:p>
          <w:p>
            <w:pPr>
              <w:spacing w:after="20"/>
              <w:ind w:left="20"/>
              <w:jc w:val="both"/>
            </w:pPr>
            <w:r>
              <w:rPr>
                <w:rFonts w:ascii="Times New Roman"/>
                <w:b w:val="false"/>
                <w:i w:val="false"/>
                <w:color w:val="000000"/>
                <w:sz w:val="20"/>
              </w:rPr>
              <w:t>2009 90 410 2,</w:t>
            </w:r>
          </w:p>
          <w:p>
            <w:pPr>
              <w:spacing w:after="20"/>
              <w:ind w:left="20"/>
              <w:jc w:val="both"/>
            </w:pPr>
            <w:r>
              <w:rPr>
                <w:rFonts w:ascii="Times New Roman"/>
                <w:b w:val="false"/>
                <w:i w:val="false"/>
                <w:color w:val="000000"/>
                <w:sz w:val="20"/>
              </w:rPr>
              <w:t>2009 90 510 2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p>
            <w:pPr>
              <w:spacing w:after="20"/>
              <w:ind w:left="20"/>
              <w:jc w:val="both"/>
            </w:pPr>
            <w:r>
              <w:rPr>
                <w:rFonts w:ascii="Times New Roman"/>
                <w:b w:val="false"/>
                <w:i w:val="false"/>
                <w:color w:val="000000"/>
                <w:sz w:val="20"/>
              </w:rPr>
              <w:t>3004 10 000 5,</w:t>
            </w:r>
          </w:p>
          <w:p>
            <w:pPr>
              <w:spacing w:after="20"/>
              <w:ind w:left="20"/>
              <w:jc w:val="both"/>
            </w:pPr>
            <w:r>
              <w:rPr>
                <w:rFonts w:ascii="Times New Roman"/>
                <w:b w:val="false"/>
                <w:i w:val="false"/>
                <w:color w:val="000000"/>
                <w:sz w:val="20"/>
              </w:rPr>
              <w:t>3004 10 000 7,</w:t>
            </w:r>
          </w:p>
          <w:p>
            <w:pPr>
              <w:spacing w:after="20"/>
              <w:ind w:left="20"/>
              <w:jc w:val="both"/>
            </w:pPr>
            <w:r>
              <w:rPr>
                <w:rFonts w:ascii="Times New Roman"/>
                <w:b w:val="false"/>
                <w:i w:val="false"/>
                <w:color w:val="000000"/>
                <w:sz w:val="20"/>
              </w:rPr>
              <w:t>3004 10 000 8,</w:t>
            </w:r>
          </w:p>
          <w:p>
            <w:pPr>
              <w:spacing w:after="20"/>
              <w:ind w:left="20"/>
              <w:jc w:val="both"/>
            </w:pPr>
            <w:r>
              <w:rPr>
                <w:rFonts w:ascii="Times New Roman"/>
                <w:b w:val="false"/>
                <w:i w:val="false"/>
                <w:color w:val="000000"/>
                <w:sz w:val="20"/>
              </w:rPr>
              <w:t>3004 20 000 1,</w:t>
            </w:r>
          </w:p>
          <w:p>
            <w:pPr>
              <w:spacing w:after="20"/>
              <w:ind w:left="20"/>
              <w:jc w:val="both"/>
            </w:pPr>
            <w:r>
              <w:rPr>
                <w:rFonts w:ascii="Times New Roman"/>
                <w:b w:val="false"/>
                <w:i w:val="false"/>
                <w:color w:val="000000"/>
                <w:sz w:val="20"/>
              </w:rPr>
              <w:t>3004 20 000 2,</w:t>
            </w:r>
          </w:p>
          <w:p>
            <w:pPr>
              <w:spacing w:after="20"/>
              <w:ind w:left="20"/>
              <w:jc w:val="both"/>
            </w:pPr>
            <w:r>
              <w:rPr>
                <w:rFonts w:ascii="Times New Roman"/>
                <w:b w:val="false"/>
                <w:i w:val="false"/>
                <w:color w:val="000000"/>
                <w:sz w:val="20"/>
              </w:rPr>
              <w:t>3004 20 000 9,</w:t>
            </w:r>
          </w:p>
          <w:p>
            <w:pPr>
              <w:spacing w:after="20"/>
              <w:ind w:left="20"/>
              <w:jc w:val="both"/>
            </w:pPr>
            <w:r>
              <w:rPr>
                <w:rFonts w:ascii="Times New Roman"/>
                <w:b w:val="false"/>
                <w:i w:val="false"/>
                <w:color w:val="000000"/>
                <w:sz w:val="20"/>
              </w:rPr>
              <w:t>3004 39 000 1,</w:t>
            </w:r>
          </w:p>
          <w:p>
            <w:pPr>
              <w:spacing w:after="20"/>
              <w:ind w:left="20"/>
              <w:jc w:val="both"/>
            </w:pPr>
            <w:r>
              <w:rPr>
                <w:rFonts w:ascii="Times New Roman"/>
                <w:b w:val="false"/>
                <w:i w:val="false"/>
                <w:color w:val="000000"/>
                <w:sz w:val="20"/>
              </w:rPr>
              <w:t>3004 39 000 9,</w:t>
            </w:r>
          </w:p>
          <w:p>
            <w:pPr>
              <w:spacing w:after="20"/>
              <w:ind w:left="20"/>
              <w:jc w:val="both"/>
            </w:pPr>
            <w:r>
              <w:rPr>
                <w:rFonts w:ascii="Times New Roman"/>
                <w:b w:val="false"/>
                <w:i w:val="false"/>
                <w:color w:val="000000"/>
                <w:sz w:val="20"/>
              </w:rPr>
              <w:t>3004 50 000 1,</w:t>
            </w:r>
          </w:p>
          <w:p>
            <w:pPr>
              <w:spacing w:after="20"/>
              <w:ind w:left="20"/>
              <w:jc w:val="both"/>
            </w:pPr>
            <w:r>
              <w:rPr>
                <w:rFonts w:ascii="Times New Roman"/>
                <w:b w:val="false"/>
                <w:i w:val="false"/>
                <w:color w:val="000000"/>
                <w:sz w:val="20"/>
              </w:rPr>
              <w:t>3004 50 000 2,</w:t>
            </w:r>
          </w:p>
          <w:p>
            <w:pPr>
              <w:spacing w:after="20"/>
              <w:ind w:left="20"/>
              <w:jc w:val="both"/>
            </w:pPr>
            <w:r>
              <w:rPr>
                <w:rFonts w:ascii="Times New Roman"/>
                <w:b w:val="false"/>
                <w:i w:val="false"/>
                <w:color w:val="000000"/>
                <w:sz w:val="20"/>
              </w:rPr>
              <w:t>3004 60 000 0,</w:t>
            </w:r>
          </w:p>
          <w:p>
            <w:pPr>
              <w:spacing w:after="20"/>
              <w:ind w:left="20"/>
              <w:jc w:val="both"/>
            </w:pPr>
            <w:r>
              <w:rPr>
                <w:rFonts w:ascii="Times New Roman"/>
                <w:b w:val="false"/>
                <w:i w:val="false"/>
                <w:color w:val="000000"/>
                <w:sz w:val="20"/>
              </w:rPr>
              <w:t>3004 90 000 2,</w:t>
            </w:r>
          </w:p>
          <w:p>
            <w:pPr>
              <w:spacing w:after="20"/>
              <w:ind w:left="20"/>
              <w:jc w:val="both"/>
            </w:pPr>
            <w:r>
              <w:rPr>
                <w:rFonts w:ascii="Times New Roman"/>
                <w:b w:val="false"/>
                <w:i w:val="false"/>
                <w:color w:val="000000"/>
                <w:sz w:val="20"/>
              </w:rPr>
              <w:t>3004 90 000 9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Пастер тамызғышы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5-тен,</w:t>
            </w:r>
          </w:p>
          <w:p>
            <w:pPr>
              <w:spacing w:after="20"/>
              <w:ind w:left="20"/>
              <w:jc w:val="both"/>
            </w:pPr>
            <w:r>
              <w:rPr>
                <w:rFonts w:ascii="Times New Roman"/>
                <w:b w:val="false"/>
                <w:i w:val="false"/>
                <w:color w:val="000000"/>
                <w:sz w:val="20"/>
              </w:rPr>
              <w:t xml:space="preserve"> 8705 90 800 9-дан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Комаровтың жылжымалы дезинфекциялау қондырғысы (КДҚ)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құрылғылармен біріктірілмеген электрондық термометрлер мен пирометрлер</w:t>
            </w:r>
          </w:p>
        </w:tc>
      </w:tr>
    </w:tbl>
    <w:p>
      <w:pPr>
        <w:spacing w:after="0"/>
        <w:ind w:left="0"/>
        <w:jc w:val="both"/>
      </w:pPr>
      <w:r>
        <w:rPr>
          <w:rFonts w:ascii="Times New Roman"/>
          <w:b w:val="false"/>
          <w:i w:val="false"/>
          <w:color w:val="000000"/>
          <w:sz w:val="28"/>
        </w:rPr>
        <w:t>
      Ескертпе. Осы тізбенің мақсаттары үшін өздеріне қатысты ЕАЭО СЭҚ ТН кодын да, атауын да басшылыққа алу қажет болатын қарақұмық жармасын, емшек сүтін алмастырғыштарды өндіру үшін негізді, бір рет қолданылатын стерильді Пастер тамызғыштарын және Комаровтың жылжымалы дезинфекциялау қондырғысын (КДҚ) қоспағанда, ЕАЭО СЭҚ ТН кодын басшылыққа алу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