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033c" w14:textId="47d0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нарықтардағы бәсекелестіктің жалпы қағидаларын бұзу туралы істерді қарау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98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11-тармақшасына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64-тармағына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30-тармағы мынадай мазмұндағы 3-тармақшамен толықтырылсын:</w:t>
      </w:r>
    </w:p>
    <w:bookmarkEnd w:id="1"/>
    <w:p>
      <w:pPr>
        <w:spacing w:after="0"/>
        <w:ind w:left="0"/>
        <w:jc w:val="both"/>
      </w:pPr>
      <w:r>
        <w:rPr>
          <w:rFonts w:ascii="Times New Roman"/>
          <w:b w:val="false"/>
          <w:i w:val="false"/>
          <w:color w:val="000000"/>
          <w:sz w:val="28"/>
        </w:rPr>
        <w:t>
      "3) егер трансшекаралық нарықтағы бәсекелестіктің жалпы қағидаларын бұзу белгілері осындай мүше мемлекеттің мүдделерін қозғайтын болса, істі қарауға қатысатын адамдардың істі көзбе-көз қарау жөніндегі комиссияның отырысына қатысу (істі бейнеконференция режимінде қарау мүмкін болмаған кезде) мүмкіндігі шектелген және істі қарауға қатысатын адам осындай шараларды енгізу туралы тиісті актінің көшірмесін қоса бере отырып, дәлелді өтініш Комиссияға жіберілген жағдайда, мүше мемлекеттің заңнамасында белгіленген тәртіппен мүше мемлекеттің аумағында эпидемиологиялық жағдайдың нашарлауына не әскери немесе төтенше жағдайдың енгізілуіне байланысты шектеу шараларын енгізу.".</w:t>
      </w:r>
    </w:p>
    <w:bookmarkStart w:name="z4" w:id="2"/>
    <w:p>
      <w:pPr>
        <w:spacing w:after="0"/>
        <w:ind w:left="0"/>
        <w:jc w:val="both"/>
      </w:pPr>
      <w:r>
        <w:rPr>
          <w:rFonts w:ascii="Times New Roman"/>
          <w:b w:val="false"/>
          <w:i w:val="false"/>
          <w:color w:val="000000"/>
          <w:sz w:val="28"/>
        </w:rPr>
        <w:t>
      2. Осы Шешімде көзделген өзгеріс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30-тармағының 3-тармақшасында көрсетілген және Еуразиялық экономикалық одаққа мүше мемлекеттердің заңнамасында белгіленген тәртіппен шешім күшіне енген шараларды енгізу кезінде ерте дегенде осы Шешім күшіне енген күннен кейін қолданылады.</w:t>
      </w:r>
    </w:p>
    <w:bookmarkEnd w:id="2"/>
    <w:bookmarkStart w:name="z5"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Армения Республикасынан</w:t>
            </w:r>
          </w:p>
          <w:bookmarkEnd w:id="5"/>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xml:space="preserve">
Беларусь Республикасынан </w:t>
            </w:r>
          </w:p>
          <w:bookmarkEnd w:id="6"/>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Қазақстан Республикасынан</w:t>
            </w:r>
          </w:p>
          <w:bookmarkEnd w:id="7"/>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Қырғыз Республикасынан</w:t>
            </w:r>
          </w:p>
          <w:bookmarkEnd w:id="8"/>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Ресей Федерациясынан</w:t>
            </w:r>
          </w:p>
          <w:bookmarkEnd w:id="9"/>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