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efb2" w14:textId="41de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қыркүйектегі № 122 шешімінің 2-тармағына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26 қазандағы № 141 шешімі</w:t>
      </w:r>
    </w:p>
    <w:p>
      <w:pPr>
        <w:spacing w:after="0"/>
        <w:ind w:left="0"/>
        <w:jc w:val="left"/>
      </w:pPr>
    </w:p>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 шассиі паспортының) және өздігінен жүретін машина мен басқа да техника түрлері паспортының бірыңғай нысанын енгізу және электрондық паспорттар жүйесін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2015 жылғы 22 қыркүйектегі "Көлік құралдары электрондық паспорттары (көлік құралдары шассиі электрондық паспорттары) және өздігінен жүретін машиналар мен басқа да техника түрлерінің электрондық паспорттары жүйесінің жұмыс істеу тәртібін бекіту туралы" № 122 шешімінің 2-тармағының "в" тармақшасында "2021 жылғы 1 қарашаға дейін" деген сөздер "қоса алғанда 2022 жылғы 1 қарашаға дейін" деген сөздермен ауыстырылсын.</w:t>
      </w:r>
    </w:p>
    <w:bookmarkEnd w:id="0"/>
    <w:bookmarkStart w:name="z3" w:id="1"/>
    <w:p>
      <w:pPr>
        <w:spacing w:after="0"/>
        <w:ind w:left="0"/>
        <w:jc w:val="both"/>
      </w:pPr>
      <w:r>
        <w:rPr>
          <w:rFonts w:ascii="Times New Roman"/>
          <w:b w:val="false"/>
          <w:i w:val="false"/>
          <w:color w:val="000000"/>
          <w:sz w:val="28"/>
        </w:rPr>
        <w:t xml:space="preserve">
      2. Беларусь Республикасының Үкіметінен, Қазақстан Республикасының Үкіметінен, Қырғыз Республикасының Министрлер Кабинетінен және Ресей Федерациясының Үкіметінен 2022 жылғы 2 қарашадан бастап өздігінен жүретін машиналар мен  басқа да техника түрлерінің тек электрондық паспорттарын ресімдеуге көшу жөнінде тәмамды шаралар қабылдауды қамтамасыз ету сұралсын. </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2021 жылғы 1 қарашадан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