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f840" w14:textId="316f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ды қол" электрондық құрылғысын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8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Шарикті қалам түрінде берілетін, корпусында сканерлейтін оптикалық бергіш, сымсыз қосу модулы (Bluetooth), жад модулы, аккумуляторлық батарея, сиясы бар шарикті өзек, осы құрылғы арнаулы қағазда жазған (салған) мәтінді (бейнені) сканерлеуге және сақталған ақпаратты сымсыз желі бойынша ұштасқан мобильді құрылғыларға (смартфон, планшет, дербес компьютар) беру мүмкіндігімен құрылғының жад модулының цифрлық форматында сақтауға арналған жарықдиодты индикатор орналасқан "ақылды қол" электрондық құрылғысы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471 60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