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43e2" w14:textId="4704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Еуразиялық экономикалық одаққа мүше мемлекеттердің бюджеттері арасында кедендік әкелу баждарының сомаларын есепке жатқызу және бөлу туралы</w:t>
      </w:r>
    </w:p>
    <w:p>
      <w:pPr>
        <w:spacing w:after="0"/>
        <w:ind w:left="0"/>
        <w:jc w:val="both"/>
      </w:pPr>
      <w:r>
        <w:rPr>
          <w:rFonts w:ascii="Times New Roman"/>
          <w:b w:val="false"/>
          <w:i w:val="false"/>
          <w:color w:val="000000"/>
          <w:sz w:val="28"/>
        </w:rPr>
        <w:t>Еуразиялық Үкіметаралық Кеңестің 2021 жылғы 20 тамыздағы № 12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 және Кедендік әкелу баждарының (баламалы қолданылатын өзге де баждардың, салықтар мен алымдардың) сомаларын есепке жатқызу мен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54-тармағының негізінде және Еуразиялық экономикалық комиссияның 2020 жылы Еуразиялық экономикалық одаққа мүше мемлекеттердің бюджеттері арасында кедендік әкелу баждарының сомаларын есепке жатқызу және бөлу туралы ақпаратын назарға ала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 Кедендік әкелу баждарының (баламалы қолданылатын өзге де баждардың, салықтар мен алымдардың) сомаларын есепке жатқызу мен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іске асыру мониторингі жөніндегі жұмысты жалғастырсын.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