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ba44" w14:textId="0bdb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металдардың қалдықтары мен сынығына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15 наурыздағы № 42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42 және 45-баптарына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7112 30 000 0, 7112 91 000 0, 711292 0000 және 7112 99 000 0 кодтарымен сыныпталатын бағалы металдардың қалдықтары мен сынығына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 кедендік әкелу бажының ставкасы осы Шешім күшіне енген күннен бастап қоса алғанда 2025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7112 30 000 0, 7112 91 000 0, 711292 0000 және 7112 99 000 0 кодтары бар позицияларда Еуразиялық  экономикалық одақтың Бірыңғай кедендік тарифіне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5С)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55С)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55С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55С)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15 наурыздағы № 42 шешімі күшіне енген күннен бастап қоса алғанда 2025.31.12.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2023 жылғы 1 қаңтардан 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