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111e" w14:textId="c1f1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экономикаларының тұрақтылығын қамтамасыз ету мақсатында Еуразиялық экономикалық одақтың кедендік аумағына әкелінетін жекелеген тауарларға қатысты Еуразиялық экономикалық одақтың Бірыңғай кедендік тарифінің кедендік әкелу баждарының ставкаларын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2022 жылғы 19 сәуірдегі № 66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және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сәйкес, Еуразиялық экономикалық комиссия Кеңесінің 2022 жылғы 17 наурыздағы № 12 </w:t>
      </w:r>
      <w:r>
        <w:rPr>
          <w:rFonts w:ascii="Times New Roman"/>
          <w:b w:val="false"/>
          <w:i w:val="false"/>
          <w:color w:val="000000"/>
          <w:sz w:val="28"/>
        </w:rPr>
        <w:t>өкімін</w:t>
      </w:r>
      <w:r>
        <w:rPr>
          <w:rFonts w:ascii="Times New Roman"/>
          <w:b w:val="false"/>
          <w:i w:val="false"/>
          <w:color w:val="000000"/>
          <w:sz w:val="28"/>
        </w:rPr>
        <w:t xml:space="preserve"> іске асыру және Еуразиялық экономикалық одаққа мүше мемлекеттердің экономикаларының тұрақтылығын қамтамасыз ету мақсатында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тарифінің жекелеген тауарларға қатысты кедендік әкелу баждарының ставкалары белгіленсін.</w:t>
      </w:r>
    </w:p>
    <w:bookmarkEnd w:id="1"/>
    <w:bookmarkStart w:name="z3" w:id="2"/>
    <w:p>
      <w:pPr>
        <w:spacing w:after="0"/>
        <w:ind w:left="0"/>
        <w:jc w:val="both"/>
      </w:pPr>
      <w:r>
        <w:rPr>
          <w:rFonts w:ascii="Times New Roman"/>
          <w:b w:val="false"/>
          <w:i w:val="false"/>
          <w:color w:val="000000"/>
          <w:sz w:val="28"/>
        </w:rPr>
        <w:t>
      2.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тарифіне ескертпелерде:</w:t>
      </w:r>
    </w:p>
    <w:bookmarkEnd w:id="2"/>
    <w:bookmarkStart w:name="z4" w:id="3"/>
    <w:p>
      <w:pPr>
        <w:spacing w:after="0"/>
        <w:ind w:left="0"/>
        <w:jc w:val="both"/>
      </w:pPr>
      <w:r>
        <w:rPr>
          <w:rFonts w:ascii="Times New Roman"/>
          <w:b w:val="false"/>
          <w:i w:val="false"/>
          <w:color w:val="000000"/>
          <w:sz w:val="28"/>
        </w:rPr>
        <w:t>
      а) 1С ескертпенің күші жойылды деп танылсын;</w:t>
      </w:r>
    </w:p>
    <w:bookmarkEnd w:id="3"/>
    <w:bookmarkStart w:name="z5" w:id="4"/>
    <w:p>
      <w:pPr>
        <w:spacing w:after="0"/>
        <w:ind w:left="0"/>
        <w:jc w:val="both"/>
      </w:pPr>
      <w:r>
        <w:rPr>
          <w:rFonts w:ascii="Times New Roman"/>
          <w:b w:val="false"/>
          <w:i w:val="false"/>
          <w:color w:val="000000"/>
          <w:sz w:val="28"/>
        </w:rPr>
        <w:t>
      б) мынадай мазмұндағы 67С ескертпемен толықтырылсын:</w:t>
      </w:r>
    </w:p>
    <w:bookmarkEnd w:id="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67С)</w:t>
      </w:r>
      <w:r>
        <w:rPr>
          <w:rFonts w:ascii="Times New Roman"/>
          <w:b w:val="false"/>
          <w:i w:val="false"/>
          <w:color w:val="000000"/>
          <w:sz w:val="28"/>
        </w:rPr>
        <w:t> Кедендік құнның 0 (нөл) % мөлшеріндегі кедендік әкелу бажының ставкасы Еуразиялық экономикалық комиссия Алқасының 2022 жылғы 19 сәуірдегі № 66 шешімі күшіне енген күннен бастап 30.09.2022 қоса алғандағы аралықта қолданылады.".</w:t>
      </w:r>
    </w:p>
    <w:bookmarkStart w:name="z6" w:id="5"/>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күшіне енеді және 2022 жылғы 28 наурыздан бастап туындайтын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19 сәуірдегі </w:t>
            </w:r>
            <w:r>
              <w:br/>
            </w:r>
            <w:r>
              <w:rPr>
                <w:rFonts w:ascii="Times New Roman"/>
                <w:b w:val="false"/>
                <w:i w:val="false"/>
                <w:color w:val="000000"/>
                <w:sz w:val="20"/>
              </w:rPr>
              <w:t>№ 66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 СТАВКАЛАРЫ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әкелу бажының мөлшерлемесі (кедендік құнының пайызымен, не евромен, 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нұт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Vigna mungo</w:t>
            </w:r>
            <w:r>
              <w:rPr>
                <w:rFonts w:ascii="Times New Roman"/>
                <w:b w:val="false"/>
                <w:i w:val="false"/>
                <w:color w:val="000000"/>
                <w:sz w:val="20"/>
              </w:rPr>
              <w:t xml:space="preserve"> (</w:t>
            </w:r>
            <w:r>
              <w:rPr>
                <w:rFonts w:ascii="Times New Roman"/>
                <w:b w:val="false"/>
                <w:i/>
                <w:color w:val="000000"/>
                <w:sz w:val="20"/>
              </w:rPr>
              <w:t>L.</w:t>
            </w:r>
            <w:r>
              <w:rPr>
                <w:rFonts w:ascii="Times New Roman"/>
                <w:b w:val="false"/>
                <w:i w:val="false"/>
                <w:color w:val="000000"/>
                <w:sz w:val="20"/>
              </w:rPr>
              <w:t xml:space="preserve">) </w:t>
            </w:r>
            <w:r>
              <w:rPr>
                <w:rFonts w:ascii="Times New Roman"/>
                <w:b w:val="false"/>
                <w:i/>
                <w:color w:val="000000"/>
                <w:sz w:val="20"/>
              </w:rPr>
              <w:t>Hepper</w:t>
            </w:r>
            <w:r>
              <w:rPr>
                <w:rFonts w:ascii="Times New Roman"/>
                <w:b w:val="false"/>
                <w:i w:val="false"/>
                <w:color w:val="000000"/>
                <w:sz w:val="20"/>
              </w:rPr>
              <w:t xml:space="preserve"> немесе </w:t>
            </w:r>
            <w:r>
              <w:rPr>
                <w:rFonts w:ascii="Times New Roman"/>
                <w:b w:val="false"/>
                <w:i/>
                <w:color w:val="000000"/>
                <w:sz w:val="20"/>
              </w:rPr>
              <w:t>Vigna radiata</w:t>
            </w:r>
            <w:r>
              <w:rPr>
                <w:rFonts w:ascii="Times New Roman"/>
                <w:b w:val="false"/>
                <w:i w:val="false"/>
                <w:color w:val="000000"/>
                <w:sz w:val="20"/>
              </w:rPr>
              <w:t xml:space="preserve"> (</w:t>
            </w:r>
            <w:r>
              <w:rPr>
                <w:rFonts w:ascii="Times New Roman"/>
                <w:b w:val="false"/>
                <w:i/>
                <w:color w:val="000000"/>
                <w:sz w:val="20"/>
              </w:rPr>
              <w:t>L.</w:t>
            </w:r>
            <w:r>
              <w:rPr>
                <w:rFonts w:ascii="Times New Roman"/>
                <w:b w:val="false"/>
                <w:i w:val="false"/>
                <w:color w:val="000000"/>
                <w:sz w:val="20"/>
              </w:rPr>
              <w:t xml:space="preserve">) </w:t>
            </w:r>
            <w:r>
              <w:rPr>
                <w:rFonts w:ascii="Times New Roman"/>
                <w:b w:val="false"/>
                <w:i/>
                <w:color w:val="000000"/>
                <w:sz w:val="20"/>
              </w:rPr>
              <w:t>Wilczek</w:t>
            </w:r>
            <w:r>
              <w:rPr>
                <w:rFonts w:ascii="Times New Roman"/>
                <w:b w:val="false"/>
                <w:i w:val="false"/>
                <w:color w:val="000000"/>
                <w:sz w:val="20"/>
              </w:rPr>
              <w:t xml:space="preserve"> түрлерінің түйебұршағы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 қызыл түйебұршақ (адзуктер) (</w:t>
            </w:r>
            <w:r>
              <w:rPr>
                <w:rFonts w:ascii="Times New Roman"/>
                <w:b w:val="false"/>
                <w:i/>
                <w:color w:val="000000"/>
                <w:sz w:val="20"/>
              </w:rPr>
              <w:t>Phaseolus</w:t>
            </w:r>
            <w:r>
              <w:rPr>
                <w:rFonts w:ascii="Times New Roman"/>
                <w:b w:val="false"/>
                <w:i w:val="false"/>
                <w:color w:val="000000"/>
                <w:sz w:val="20"/>
              </w:rPr>
              <w:t xml:space="preserve"> немесе </w:t>
            </w:r>
            <w:r>
              <w:rPr>
                <w:rFonts w:ascii="Times New Roman"/>
                <w:b w:val="false"/>
                <w:i/>
                <w:color w:val="000000"/>
                <w:sz w:val="20"/>
              </w:rPr>
              <w:t>Vigna angularis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егістік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жасымық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отқа төзімді саз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сынған немесе ұсақталған әктас, доломит және өзге де әктас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сөндірілген әктас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далалық шпат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кемінде 95 мас.%, бірақ 97 мас.% аспайтын кальций фториді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97 мас.% астам кальций фториді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лейцит; нефелин және нефелин сиениті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топтың брутто-массасы 10 кг-нан аспайтын таблеткалардағы немесе ұқсас нысандардағы немесе қаптамалардағы тауарлары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нитрат пен фосфат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құрғақ сусыз өнімге қайта есептегенде құрамында 10 мас.% астам азот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затқа қайта есептегенде құрамында 80 мас.% немесе одан көп титан диоксиді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диэтанол полиуретаны 2,2'-(трет-бутилимино) және құрамында 48 мас.% немесе одан да көп полимерлі N,N-диметилацетамиде ерітіндісі түріндегі 4,4'-метилендициклогексилдиизоцианат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аэрозоль баллондарындағы полиуретанды монтаж көбігі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терпендер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3301 29 410 0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терпендер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бұйралауға немесе шашты түзетуге арналған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шашқа арналған лактар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30 мас.% немесе одан көп, бірақ 60 мас.% аспайтын алкилэтоксисульфат және 5 мас.% немесе одан көп, бірақ 15 мас.% аспайтын алкиламиноксид бар су ерітіндісі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материалдарын, теріні, үлбірді немесе өзге де материалдарды өңдеуге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аяқ киімге немесе теріге арналған вакстар, кремдер және ұқсас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алмас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0,03 евро</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күрделі немесе қарапайым эфирге айналған крахмалдар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0,03 евро</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25 мас.% кем крахмалдар немесе декстриндер немесе өзге де түрлендірілген крахмалдар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25 мас.% немесе одан көп, бірақ 55 мас.% жетпейтін крахмалдар немесе декстриндер немесе өзге де түрлендірілген крахмалдар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55 мас.% немесе одан көп, бірақ 80 мас.% жетпейтін крахмалдар немесе декстриндер немесе өзге де түрлендірілген крахмалдар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80 мас.% немесе одан көп крахмалдар немесе декстриндер немесе өзге де түрлендірілген крахмалдар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3702 44 000 0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ені 105 мм-ден астам, бірақ 610 мм-ден аспайтын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айқындағыштар мен бекіткіштер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эфирлі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өнеркәсібінде немесе ұқсас салаларда қолданылатын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 өнеркәсібінде немесе ұқсас салаларда қолданылатын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3824 99 550 0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күрделі моно -, ди- және майлы қышқылдардың және глицериннің үш-эфирлерінің қоспалары (майларға арналған эмульгаторлар)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фитингтерсіз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массивті немесе жартылай пневматикалық шиналар мен қақпақшалар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крафт-қағаз немесе крафт-картон немесе гофраланған қағаз немесе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қағаз немесе картон, негізінен ағартылған целлюлозадан алынған, боялмаған массада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ескі және сатылмаған газеттер мен журналдар, телефон анықтамалары, брошюралар және баспа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сұрыпталмаған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сұрыпталған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рулондарда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онда талшықтың жалпы массасының кемінде 80% - ын химиялық сульфаттық немесе натрондық тәсілмен алынған қылқан жапырақты ағаш талшықтары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массада тең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онда талшықтың жалпы массасының кемінде 80% - ын химиялық сульфаттық немесе натрондық тәсілмен алынған қылқан жапырақты ағаш талшықтары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w:t>
            </w:r>
            <w:r>
              <w:rPr>
                <w:rFonts w:ascii="Times New Roman"/>
                <w:b w:val="false"/>
                <w:i w:val="false"/>
                <w:color w:val="000000"/>
                <w:vertAlign w:val="superscript"/>
              </w:rPr>
              <w:t>2</w:t>
            </w:r>
            <w:r>
              <w:rPr>
                <w:rFonts w:ascii="Times New Roman"/>
                <w:b w:val="false"/>
                <w:i w:val="false"/>
                <w:color w:val="000000"/>
                <w:sz w:val="20"/>
              </w:rPr>
              <w:t xml:space="preserve"> массасы 150 г немесе одан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сүзгілік қағаз бен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w:t>
            </w:r>
            <w:r>
              <w:rPr>
                <w:rFonts w:ascii="Times New Roman"/>
                <w:b w:val="false"/>
                <w:i w:val="false"/>
                <w:color w:val="000000"/>
                <w:vertAlign w:val="superscript"/>
              </w:rPr>
              <w:t>2</w:t>
            </w:r>
            <w:r>
              <w:rPr>
                <w:rFonts w:ascii="Times New Roman"/>
                <w:b w:val="false"/>
                <w:i w:val="false"/>
                <w:color w:val="000000"/>
                <w:sz w:val="20"/>
              </w:rPr>
              <w:t xml:space="preserve"> массасы 150 г немесе одан кем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4805 93 200 0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макулатурадан дайындалған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жағының мөлшері 435 мм аспайтын, ал екінші жағы – жайылған түрде 297 мм аспайтын парақтарда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15 см-ден астам орамдарда немесе бір жағының өлшемі 36 см-ден астам және екінші жағының өлшемі 15 см-ден астам парақтарда жайылған түрде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–рулондарда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массада біртегіс ағартылған және талшықтардың жалпы массасының 95%-дан астамын химиялық тәсілмен алынған сүректі талшықтар құрайды, 1 м</w:t>
            </w:r>
            <w:r>
              <w:rPr>
                <w:rFonts w:ascii="Times New Roman"/>
                <w:b w:val="false"/>
                <w:i w:val="false"/>
                <w:color w:val="000000"/>
                <w:vertAlign w:val="superscript"/>
              </w:rPr>
              <w:t xml:space="preserve">2 </w:t>
            </w:r>
            <w:r>
              <w:rPr>
                <w:rFonts w:ascii="Times New Roman"/>
                <w:b w:val="false"/>
                <w:i w:val="false"/>
                <w:color w:val="000000"/>
                <w:sz w:val="20"/>
              </w:rPr>
              <w:t>массасы 150 г немесе одан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ағартылған барлық қабаттармен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4810 92 300 0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ағартылған, бір ғана сыртқы қабатымен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4810 92 900 1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ені 29 см астам, 1 м² массасы кемінде 180 г, бірақ 250 г аспайтын және қалыңдығы кемінде 200 мкм (микрон), бірақ 350 мкм (микрон) аспайтын орамдағы жылтыр картон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4810 92 900 9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балауыз, парафин, стеарин, май немесе глицерин жағылған немесе сіңірілген қағаз және картон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картон, целлюлоза мақтасы және целлюлоза талшықтарынан жасалған жайма,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жасалған блоктар, тақталар және сүзгіш пластиналар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гофраланбаған қағаздан немесе гофраланбаған картоннан жиналмалы қатырма қағаздар, жәшіктер және қораптар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грампластинкаларға арналған конверттерді қоса алғанда, өзге қаптамалар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алынбалы мұқабалар (кітап тыстарынан басқа), папкалар және тезтікпелер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жазуға, басып шығаруға немесе басқа да графикалық мақсаттарға арналған қағаз және картон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конденсаторлық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7 мас.% астам, бірақ 45 мас.% жетпейтін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45 мас.% жетпейтін глинозем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берік шыныдан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балқытылған кварцтан немесе басқа да балқытылған кремнеземдерден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және лакталған хром оксидтерімен немесе хроммен және хром оксидтерімен гальваникалық немесе басқа да жабыны бар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бағдарлы дәнмен текстураланған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сырғанауға қарсы тізбектер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7415 33 000 0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бұрандалар; болттар және гайкалар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аэрозольдер үшін пайдаланылатын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марганец;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металл өңдеуге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берілетін кілттер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құйылған шойыннан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құйылған шойыннан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1000 кВт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10 000 кВт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тартымы 110 кН астам, бірақ 132 кН аспайтын азаматтық әуе кемелерін жасауға арналған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тартымы 132 кН астам, бірақ 145 кН аспайтын азаматтық әуе кемелерін жасауға арналған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вибрациялық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орнатылған желдеткіші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стационарлық электр плиталары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1000 мм астам дөңгелек қима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қыштан жасалған оқшаулағыш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коронарлық стенттер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түймелерге арналған қалыптар және түймелердің өзге де бөліктері; түймелерге арналған дайындамалар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термостар және жинақталған өзге де вакуумдық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67С)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