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02b1" w14:textId="c350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индефлятордың сыныптамасы туралы</w:t>
      </w:r>
    </w:p>
    <w:p>
      <w:pPr>
        <w:spacing w:after="0"/>
        <w:ind w:left="0"/>
        <w:jc w:val="both"/>
      </w:pPr>
      <w:r>
        <w:rPr>
          <w:rFonts w:ascii="Times New Roman"/>
          <w:b w:val="false"/>
          <w:i w:val="false"/>
          <w:color w:val="000000"/>
          <w:sz w:val="28"/>
        </w:rPr>
        <w:t>Еуразиялық экономикалық комиссия Алқасының 2022 жылғы 5 шілдедегі № 96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Ангиопластика жүргізу кезінде баллон катетерін бақыланатын үрлеуге және үрлеуге немесе стенттеу жүргізу кезінде стентті ашуға арналған корпустан, поршеннен, тұтқадан, поршень бекіткішінен (батырмасынан), луер қосқышы бар түтіктен тұратын манометрі бар пластикалық шприц түріндегі стерильді медициналық бұйым болып табылатын индефлятор, Сыртқы экономикалық қызметтің 1 және 6 тауар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9018 90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