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2993" w14:textId="0442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жат түрлері мен мәліметтер сыныптауыш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6 қыркүйектегі № 12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тың Кеден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жат түрлері мен мәліметтер сыныптауышының 7-бөлімі (Кеден одағы Комиссиясының 2010 жылғы 20 қыркүйектегі № 378 шешіміне № 8 қосымша) 07040 коды бар позициядан кейін мынадай мазмұндағы позиция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07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қамтамасыз ету туралы куә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еларусь Республикасы үшін)"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