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65c9" w14:textId="e506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"Сүттің және сүт өнімдерінің қауіпсіздігі туралы" техникалық регламентіне өзгерістер енгізу туралы (КО ТР 033/2013)</w:t>
      </w:r>
    </w:p>
    <w:p>
      <w:pPr>
        <w:spacing w:after="0"/>
        <w:ind w:left="0"/>
        <w:jc w:val="both"/>
      </w:pPr>
      <w:r>
        <w:rPr>
          <w:rFonts w:ascii="Times New Roman"/>
          <w:b w:val="false"/>
          <w:i w:val="false"/>
          <w:color w:val="000000"/>
          <w:sz w:val="28"/>
        </w:rPr>
        <w:t>Еуразиялық экономикалық комиссия Кеңесінің 2022 жылғы 15 шілдедегі № 113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Кеден одағы Комиссиясының 2013 жылғы 9 қазандағы № 67 шешімімен қабылданған Кеден одағының "Сүттің және сүт өнімдерінің қауіпсіздігі туралы" техникалық регламентінің (КО ТР 033/2013) 61-тармағы мынадай мазмұндағы "д" тармақшасымен толықтырылсын:</w:t>
      </w:r>
    </w:p>
    <w:bookmarkEnd w:id="1"/>
    <w:p>
      <w:pPr>
        <w:spacing w:after="0"/>
        <w:ind w:left="0"/>
        <w:jc w:val="both"/>
      </w:pPr>
      <w:r>
        <w:rPr>
          <w:rFonts w:ascii="Times New Roman"/>
          <w:b w:val="false"/>
          <w:i w:val="false"/>
          <w:color w:val="000000"/>
          <w:sz w:val="28"/>
        </w:rPr>
        <w:t>
      "д) 0,5 л – сұйық (бейімделген немесе ішінара бейімделген бастапқы немесе кейінгі қоспалар), ішетін сүт, ішетін кілегей, ашытылған сүт өнімдері. 2022 жылғы 31 желтоқсанға дейін Ресей Федерациясының аумағында ғана айналымға шығаруға рұқсат етіледі. Мұндай өнімді Ресей Федерациясының аумағында оны өндіруші белгілеген жарамдылық мерзімі ішінде айналымға жіберуге болады. Көрсетілген өнім Еуразиялық экономикалық одақ нарығында өнім айналымының бірыңғай белгісімен таңбаланбайды және қаптамаға (ыдысқа) "Ресей Федерациясының аумағында ғана өткізу үшін" деген жазу жазылады.".</w:t>
      </w:r>
    </w:p>
    <w:bookmarkStart w:name="z2" w:id="2"/>
    <w:p>
      <w:pPr>
        <w:spacing w:after="0"/>
        <w:ind w:left="0"/>
        <w:jc w:val="both"/>
      </w:pPr>
      <w:r>
        <w:rPr>
          <w:rFonts w:ascii="Times New Roman"/>
          <w:b w:val="false"/>
          <w:i w:val="false"/>
          <w:color w:val="000000"/>
          <w:sz w:val="28"/>
        </w:rPr>
        <w:t>
      2. Кеден одағының "Сүттің және сүт өнімдерінің қауіпсіздігі туралы" техникалық регламентінің (КО ТР 033/2013) 61-тармағының "б" және "в" тармақшаларында көзделген өнімге қатысты арнаулы тамақ өнімдерінің бірыңғай тізілімінде қамтылған өнімді мемлекеттік тіркеу туралы мәліметтер (мемлекеттік тіркеу туралы құжаттар) осы техникалық регламенттің 61-тармағының "д" тармақшасында көрсетілген өнімге қолданылады.</w:t>
      </w:r>
    </w:p>
    <w:bookmarkEnd w:id="2"/>
    <w:bookmarkStart w:name="z3" w:id="3"/>
    <w:p>
      <w:pPr>
        <w:spacing w:after="0"/>
        <w:ind w:left="0"/>
        <w:jc w:val="both"/>
      </w:pPr>
      <w:r>
        <w:rPr>
          <w:rFonts w:ascii="Times New Roman"/>
          <w:b w:val="false"/>
          <w:i w:val="false"/>
          <w:color w:val="000000"/>
          <w:sz w:val="28"/>
        </w:rPr>
        <w:t>
      3. Ресей Федерациясының Үкіметінен Кеден одағының "Сүттің және сүт өнімдерінің қауіпсіздігі туралы" техникалық регламентінің (КО ТР 033/2013) 61-тармағының "д" тармақшасында көрсетілген өнімнің Ресей Федерациясының аумағында ғана айналымын қамтамасыз етуге және оны сәйкестендіру құралдарымен міндетті таңбалауға жататын тауарлардың айналымын мониторингтеудің мемлекеттік ақпараттық жүйесі арқылы қадағалап тұруға бағытталған шараларды қабылдау сұралсын.</w:t>
      </w:r>
    </w:p>
    <w:bookmarkEnd w:id="3"/>
    <w:bookmarkStart w:name="z4" w:id="4"/>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 және ол қабылданған күннен бастап туындаған құқықтық қатынастарға қолданылады.</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