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ad2f" w14:textId="6faa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120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Кеден одағы Комиссиясының "Кеден одағының "Доңғалақты көлік құралдарының қауіпсіздігі туралы" техникалық регламентін қабылдау туралы" 2011 жылғы 9 желтоқсандағы № 877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а) 3-тармақ мынадай мазмұндағы 3.2.9-тармақшамен толықтырылсын:</w:t>
      </w:r>
    </w:p>
    <w:bookmarkEnd w:id="2"/>
    <w:bookmarkStart w:name="z7" w:id="3"/>
    <w:p>
      <w:pPr>
        <w:spacing w:after="0"/>
        <w:ind w:left="0"/>
        <w:jc w:val="both"/>
      </w:pPr>
      <w:r>
        <w:rPr>
          <w:rFonts w:ascii="Times New Roman"/>
          <w:b w:val="false"/>
          <w:i w:val="false"/>
          <w:color w:val="000000"/>
          <w:sz w:val="28"/>
        </w:rPr>
        <w:t>
      "3.2.9. Техникалық регламенттің 1-тармағының үшінші абзацында көрсетілген көлік құралдарын айналымға шығаруға және пайдалануға беруге олардың қауіпсіздігін қамтамасыз ету шартымен және осындай көлік құралдары әкелінген мемлекеттің аумағында ғана (Армения Республикасының аумағында немесе Беларусь Республикасының аумағында) жол беріледі. Мұндай көлік құралдарына қатысты Техникалық регламентте көзделген сәйкестікті бағалау туралы құжаттарды ресімдеуге жол берілмейді.</w:t>
      </w:r>
    </w:p>
    <w:bookmarkEnd w:id="3"/>
    <w:bookmarkStart w:name="z8" w:id="4"/>
    <w:p>
      <w:pPr>
        <w:spacing w:after="0"/>
        <w:ind w:left="0"/>
        <w:jc w:val="both"/>
      </w:pPr>
      <w:r>
        <w:rPr>
          <w:rFonts w:ascii="Times New Roman"/>
          <w:b w:val="false"/>
          <w:i w:val="false"/>
          <w:color w:val="000000"/>
          <w:sz w:val="28"/>
        </w:rPr>
        <w:t>
      Егер басқа мүше мемлекеттердің осындай көлік құралдарына қатысты заңнамасында өзгеше белгіленбесе, тиісінше Армения Республикасының аумағын немесе Беларусь Республикасының аумағын қоспағанда, Еуразиялық экономикалық одаққа мүше мемлекеттердің аумақтарында Техникалық регламенттің 1-тармағының үшінші абзацында көрсетілген көлік құралдарын иелену, пайдалану, оларға билік ету құқықтарын жүзеге асыруға жол берілмейді.";</w:t>
      </w:r>
    </w:p>
    <w:bookmarkEnd w:id="4"/>
    <w:bookmarkStart w:name="z9" w:id="5"/>
    <w:p>
      <w:pPr>
        <w:spacing w:after="0"/>
        <w:ind w:left="0"/>
        <w:jc w:val="both"/>
      </w:pPr>
      <w:r>
        <w:rPr>
          <w:rFonts w:ascii="Times New Roman"/>
          <w:b w:val="false"/>
          <w:i w:val="false"/>
          <w:color w:val="000000"/>
          <w:sz w:val="28"/>
        </w:rPr>
        <w:t>
      б) көрсетілген Шешіммен қабылданған Кеден одағының "Доңғалақты көлік құралдарының қауіпсіздігі туралы" техникалық регламентінің (КО ТР 018/2011) 1-тармағы мынадай мазмұндағы абзацпен толықтырылсын:</w:t>
      </w:r>
    </w:p>
    <w:bookmarkEnd w:id="5"/>
    <w:bookmarkStart w:name="z10" w:id="6"/>
    <w:p>
      <w:pPr>
        <w:spacing w:after="0"/>
        <w:ind w:left="0"/>
        <w:jc w:val="both"/>
      </w:pPr>
      <w:r>
        <w:rPr>
          <w:rFonts w:ascii="Times New Roman"/>
          <w:b w:val="false"/>
          <w:i w:val="false"/>
          <w:color w:val="000000"/>
          <w:sz w:val="28"/>
        </w:rPr>
        <w:t>
      "2023 жылғы 1 ақпанға дейін Армения Республикасының аумағына немесе Беларусь Республикасының аумағына шетелдік дайындаушылардың ресми өкілдері әкелетін (әкелген) M1 және M1G санаттарындағы доңғалақты көлік құралдарына қатысты № 2 қосымшаға сәйкес тізбе кестесінің 113 және 114-тармақтарын және № 3 қосымшаға сәйкес талаптардың 16 және 17-тармақтарын қоспағанда, Армения Республикасы Үкіметінің және Беларусь Республикасы Үкіметінің нормативтік құқықтық актілеріне сәйкес осы Техникалық регламентте белгіленген қауіпсіздік талаптарына сәйкестігін бағалауды жүргізуге жол беріледі.".</w:t>
      </w:r>
    </w:p>
    <w:bookmarkEnd w:id="6"/>
    <w:bookmarkStart w:name="z11" w:id="7"/>
    <w:p>
      <w:pPr>
        <w:spacing w:after="0"/>
        <w:ind w:left="0"/>
        <w:jc w:val="both"/>
      </w:pPr>
      <w:r>
        <w:rPr>
          <w:rFonts w:ascii="Times New Roman"/>
          <w:b w:val="false"/>
          <w:i w:val="false"/>
          <w:color w:val="000000"/>
          <w:sz w:val="28"/>
        </w:rPr>
        <w:t>
      2. Көлік құралының Кеден одағы Комиссиясының 2011 жылғы 9 желтоқсандағы № 877 шешімімен қабылданған Кеден одағының "Доңғалақты көлік құралдарының қауіпсіздігі туралы" техникалық регламентінің (КО ТР 018/2011) 1-тармағының үшінші абзацына сәйкес айналымға шығарылатыны туралы ақпарат және аумағында оны айналымға шығаруға болатын Еуразиялық экономикалық одаққа мүше мемлекеттің (бұдан әрі – мүше мемлекет) атауы осындай доңғалақты көлік құралын тіркеу туралы куәлікте көрсетіледі.</w:t>
      </w:r>
    </w:p>
    <w:bookmarkEnd w:id="7"/>
    <w:bookmarkStart w:name="z12" w:id="8"/>
    <w:p>
      <w:pPr>
        <w:spacing w:after="0"/>
        <w:ind w:left="0"/>
        <w:jc w:val="both"/>
      </w:pPr>
      <w:r>
        <w:rPr>
          <w:rFonts w:ascii="Times New Roman"/>
          <w:b w:val="false"/>
          <w:i w:val="false"/>
          <w:color w:val="000000"/>
          <w:sz w:val="28"/>
        </w:rPr>
        <w:t xml:space="preserve">
      3. Армения Республикасының Үкіметі мен Беларусь Республикасының Үкіметінен: </w:t>
      </w:r>
    </w:p>
    <w:bookmarkEnd w:id="8"/>
    <w:bookmarkStart w:name="z13" w:id="9"/>
    <w:p>
      <w:pPr>
        <w:spacing w:after="0"/>
        <w:ind w:left="0"/>
        <w:jc w:val="both"/>
      </w:pPr>
      <w:r>
        <w:rPr>
          <w:rFonts w:ascii="Times New Roman"/>
          <w:b w:val="false"/>
          <w:i w:val="false"/>
          <w:color w:val="000000"/>
          <w:sz w:val="28"/>
        </w:rPr>
        <w:t>
      Кеден одағының "Доңғалақты көлік құралдарының қауіпсіздігі туралы" техникалық регламентінің (КО ТР 018/2011) 1-тармағының үшінші абзацына сәйкес әкелінген доңғалақты көлік құралдарының тізілімін қалыптастыруды және жүргізуді (олардың сәйкестендіру нөмірлерін, маркаларын және коммерциялық атауларын көрсете отырып);</w:t>
      </w:r>
    </w:p>
    <w:bookmarkEnd w:id="9"/>
    <w:bookmarkStart w:name="z14" w:id="10"/>
    <w:p>
      <w:pPr>
        <w:spacing w:after="0"/>
        <w:ind w:left="0"/>
        <w:jc w:val="both"/>
      </w:pPr>
      <w:r>
        <w:rPr>
          <w:rFonts w:ascii="Times New Roman"/>
          <w:b w:val="false"/>
          <w:i w:val="false"/>
          <w:color w:val="000000"/>
          <w:sz w:val="28"/>
        </w:rPr>
        <w:t>
      егер мүше мемлекеттер арасында (оның ішінде екі жақты форматта) өзге уағдаластықтарға қол жеткізілмесе, осы тармақтың екінші абзацында көрсетілген көлік құралдарын басқа мүше мемлекеттердің аумағында әкетуге (оның ішінде уақытша) жол бермеуді қамтамасыз ету сұралсын.</w:t>
      </w:r>
    </w:p>
    <w:bookmarkEnd w:id="10"/>
    <w:bookmarkStart w:name="z15" w:id="11"/>
    <w:p>
      <w:pPr>
        <w:spacing w:after="0"/>
        <w:ind w:left="0"/>
        <w:jc w:val="both"/>
      </w:pPr>
      <w:r>
        <w:rPr>
          <w:rFonts w:ascii="Times New Roman"/>
          <w:b w:val="false"/>
          <w:i w:val="false"/>
          <w:color w:val="000000"/>
          <w:sz w:val="28"/>
        </w:rPr>
        <w:t>
      4. Осы Шешімнің орындалуын бақылауды мүше мемлекеттердің заңнамасына сәйкес мүше мемлекеттердің уәкілетті органдары жүзеге асырады.</w:t>
      </w:r>
    </w:p>
    <w:bookmarkEnd w:id="11"/>
    <w:bookmarkStart w:name="z16" w:id="12"/>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 және 2022 жылғы 1 сәуірден бастап туындаған құқықтық қатынастарға қолданылады.</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