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259" w14:textId="9b10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6.5.1-тармағына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42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1.  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жөніндегі іс-шаралар жоспарының 6.5.1-тармағында төртінші бағандағы "жыл сайын" деген сөз "2 жылда 1 рет" деген сөздермен ауыстырылсын.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