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b0c0" w14:textId="935b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процестердің тізбесіне өзгерістер енгізу және Еуразиялық экономикалық комиссия Алқасының 2018 жылғы 11 желтоқсандағы № 201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сәуірдегі № 48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 е ш т 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 тізбесінің 70-позициясы алып тасталсын.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"Еуразиялық экономикалық одақ шеңберінде өзара сауданы жүзеге асырған кезде озонды бұзатын заттарды және оларды қамтитын өнімдерді өткізу кезінде Еуразиялық экономикалық одаққа мүше мемлекеттердің уәкілетті органдары арасында мәліметтермен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2018 жылғы 11 желтоқсандағы № 201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