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b68b" w14:textId="9ccb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мақсаттағы, соның ішінде кіріктірілген не басқа тауарлар құрамына кіретін радиоэлектрондық құралдар мен жоғары жиілікті құрылғыларды Еуразиялық экономикалық одақтың кедендік аумағына әкелу туралы ереженің 6-тармағына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5 шілдедегі № 90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мақсаттағы, соның ішінде кіріктірілген не басқа тауарлар құрамына кіретін радиоэлектрондық құралдар мен жоғары жиілікті құрылғыларды Еуразиялық экономикалық одақтың кедендік аумағына әкелу туралы ереженің 6-тармағы (Еуразиялық экономикалық комиссия Алқасының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 15 қосымша) мынадай редакцияда жазылсын:</w:t>
      </w:r>
    </w:p>
    <w:bookmarkStart w:name="z3" w:id="0"/>
    <w:p>
      <w:pPr>
        <w:spacing w:after="0"/>
        <w:ind w:left="0"/>
        <w:jc w:val="both"/>
      </w:pPr>
      <w:r>
        <w:rPr>
          <w:rFonts w:ascii="Times New Roman"/>
          <w:b w:val="false"/>
          <w:i w:val="false"/>
          <w:color w:val="000000"/>
          <w:sz w:val="28"/>
        </w:rPr>
        <w:t xml:space="preserve">
      "6. Жеке тұлғалардың радиоэлектрондық құралдарды және (немесе) жоғары жиілікті құрылғыларды жеке пайдалануға арналған тауарлар ретінде әкелуі Одаққа мүше мемлекеттің (бұдан әрі – мүше мемлекет) кеден органына осы тармақтың екінші және үшінші абзацтарында көрсетілген жағдайларды қоспағанда, қорытындыны (рұқсат беру құжатын) ұсынған кезде жүзеге асырылады. </w:t>
      </w:r>
    </w:p>
    <w:bookmarkEnd w:id="0"/>
    <w:p>
      <w:pPr>
        <w:spacing w:after="0"/>
        <w:ind w:left="0"/>
        <w:jc w:val="both"/>
      </w:pPr>
      <w:r>
        <w:rPr>
          <w:rFonts w:ascii="Times New Roman"/>
          <w:b w:val="false"/>
          <w:i w:val="false"/>
          <w:color w:val="000000"/>
          <w:sz w:val="28"/>
        </w:rPr>
        <w:t>
      Жеке тұлғалардың Одақтың кедендің аумағынан бүрын уақытша әкетілген радиоэлектрондық құралдарды және (немесе) жоғары жиілікті құрылғыларды жеке пайдалануға арналған тауарлар ретінде Одақтың кедендік аумағына кері әкелуі мүше мемлекеттің кеден органына көрсетілген радиоэлектрондық құралдарды және (немесе) жоғары жиілікті құрылғыларды әкету кезінде рәсімделген және олардың сәйкестендіру белгілерін (атауы, моделі және радиожиілік жолағы) қамтитын кедендік жолаушы декларациясын ұсынған кезде жүзеге асырылады.</w:t>
      </w:r>
    </w:p>
    <w:p>
      <w:pPr>
        <w:spacing w:after="0"/>
        <w:ind w:left="0"/>
        <w:jc w:val="both"/>
      </w:pPr>
      <w:r>
        <w:rPr>
          <w:rFonts w:ascii="Times New Roman"/>
          <w:b w:val="false"/>
          <w:i w:val="false"/>
          <w:color w:val="000000"/>
          <w:sz w:val="28"/>
        </w:rPr>
        <w:t>
      Жеке тұлғалардың бірыңғай тізілімге немесе осы Ереженің № 2 қосымшасында көзделген тізбеге енгізілген радиоэлектрондық құралдарды және (немесе) жоғары жиілікті құрылғыларды жеке пайдалануға арналған тауарлар ретінде әкелуі мүше мемлекеттің кеден органына қорытындыны (рұқсат беру құжатын) және кедендік жолаушы декларациясын ұсынбастан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