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565c7" w14:textId="fe565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Навигациялық пломбаларды қолдана отырып, Еуразиялық экономикалық одаққа мүше мемлекеттердің бақылаушы органдары арасында мүше мемлекеттердің аумақтары бойынша тасымалданатын тауарларға (өнімдерге) қатысты тасымалдау процесінде қабылданған бақылау шаралары мен нысандары туралы ақпарат алмасу тәртібі туралы</w:t>
      </w:r>
    </w:p>
    <w:p>
      <w:pPr>
        <w:spacing w:after="0"/>
        <w:ind w:left="0"/>
        <w:jc w:val="both"/>
      </w:pPr>
      <w:r>
        <w:rPr>
          <w:rFonts w:ascii="Times New Roman"/>
          <w:b w:val="false"/>
          <w:i w:val="false"/>
          <w:color w:val="000000"/>
          <w:sz w:val="28"/>
        </w:rPr>
        <w:t>Еуразиялық экономикалық комиссия Алқасының 2023 жылғы 22 тамыздағы № 130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2022 жылғы 19 сәуірдегі Еуразиялық экономикалық одақта тасымалдарды қадағалау үшін навигациялық пломбаларды қолдану туралы келісімнің 2-бабы </w:t>
      </w:r>
      <w:r>
        <w:rPr>
          <w:rFonts w:ascii="Times New Roman"/>
          <w:b w:val="false"/>
          <w:i w:val="false"/>
          <w:color w:val="000000"/>
          <w:sz w:val="28"/>
        </w:rPr>
        <w:t>4-тармағының</w:t>
      </w:r>
      <w:r>
        <w:rPr>
          <w:rFonts w:ascii="Times New Roman"/>
          <w:b w:val="false"/>
          <w:i w:val="false"/>
          <w:color w:val="000000"/>
          <w:sz w:val="28"/>
        </w:rPr>
        <w:t xml:space="preserve"> жетінші абзацына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Навигациялық пломбаларды қолдана отырып, Еуразиялық экономикалық одаққа мүше мемлекеттердің бақылаушы органдары арасында мүше мемлекеттердің аумақтары бойынша тасымалданатын тауарларға (өнімдерге) қатысты тасымалдау процесінде қабылданған бақылау шаралары мен нысандары туралы ақпарат алмасу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2023 жылғы 22 тамыздағы </w:t>
            </w:r>
            <w:r>
              <w:br/>
            </w:r>
            <w:r>
              <w:rPr>
                <w:rFonts w:ascii="Times New Roman"/>
                <w:b w:val="false"/>
                <w:i w:val="false"/>
                <w:color w:val="000000"/>
                <w:sz w:val="20"/>
              </w:rPr>
              <w:t>№ 130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Навигациялық пломбаларды қолдана отырып, Еуразиялық экономикалық одаққа мүше мемлекеттердің бақылаушы органдары арасында мүше мемлекеттердің аумақтары бойынша тасымалданатын тауарларға (өнімдерге) қатысты тасымалдау процесінде қабылданған бақылау шаралары мен нысандары туралы ақпарат алмасу ТӘРТІБІ</w:t>
      </w:r>
    </w:p>
    <w:bookmarkEnd w:id="3"/>
    <w:bookmarkStart w:name="z6" w:id="4"/>
    <w:p>
      <w:pPr>
        <w:spacing w:after="0"/>
        <w:ind w:left="0"/>
        <w:jc w:val="both"/>
      </w:pPr>
      <w:r>
        <w:rPr>
          <w:rFonts w:ascii="Times New Roman"/>
          <w:b w:val="false"/>
          <w:i w:val="false"/>
          <w:color w:val="000000"/>
          <w:sz w:val="28"/>
        </w:rPr>
        <w:t xml:space="preserve">
      1.  Осы Тәртіп 2022 жылғы 19 сәуірдегі Еуразиялық экономикалық одақта тасымалдауды қадағалау үшін навигациялық пломбаларды қолдану туралы </w:t>
      </w:r>
      <w:r>
        <w:rPr>
          <w:rFonts w:ascii="Times New Roman"/>
          <w:b w:val="false"/>
          <w:i w:val="false"/>
          <w:color w:val="000000"/>
          <w:sz w:val="28"/>
        </w:rPr>
        <w:t>келісімге</w:t>
      </w:r>
      <w:r>
        <w:rPr>
          <w:rFonts w:ascii="Times New Roman"/>
          <w:b w:val="false"/>
          <w:i w:val="false"/>
          <w:color w:val="000000"/>
          <w:sz w:val="28"/>
        </w:rPr>
        <w:t xml:space="preserve"> сәйкес мемлекеттік бақылау (қадағалау) жүргізу мониторингі мақсатында бақылаушы органдар арасында Еуразиялық экономикалық одаққа мүше мемлекеттердің (бұдан әрі – мүше мемлекеттер) аумақтары бойынша тасымалданатын тауарларға (өнімдерге) қатысты кедендік және өзге де мемлекеттік бақылау (қадағалау) түрлерін жүргізуді қамтамасыз ететін қабылданған шаралар және осындай бақылау нысандары (бұдан әрі – бақылау шаралары мен нысандары) туралы ақпарат алмасу қағидаларын айқындайды.</w:t>
      </w:r>
    </w:p>
    <w:bookmarkEnd w:id="4"/>
    <w:bookmarkStart w:name="z7" w:id="5"/>
    <w:p>
      <w:pPr>
        <w:spacing w:after="0"/>
        <w:ind w:left="0"/>
        <w:jc w:val="both"/>
      </w:pPr>
      <w:r>
        <w:rPr>
          <w:rFonts w:ascii="Times New Roman"/>
          <w:b w:val="false"/>
          <w:i w:val="false"/>
          <w:color w:val="000000"/>
          <w:sz w:val="28"/>
        </w:rPr>
        <w:t xml:space="preserve">
      2.  Осы Тәртіпте пайдаланылатын ұғымдар 2022 жылғы 19 сәуірдегі Еуразиялық экономикалық одақта тасымалдарды қадағалау үшін навигациялық пломбаларды қолдану туралы </w:t>
      </w:r>
      <w:r>
        <w:rPr>
          <w:rFonts w:ascii="Times New Roman"/>
          <w:b w:val="false"/>
          <w:i w:val="false"/>
          <w:color w:val="000000"/>
          <w:sz w:val="28"/>
        </w:rPr>
        <w:t>келісімде</w:t>
      </w:r>
      <w:r>
        <w:rPr>
          <w:rFonts w:ascii="Times New Roman"/>
          <w:b w:val="false"/>
          <w:i w:val="false"/>
          <w:color w:val="000000"/>
          <w:sz w:val="28"/>
        </w:rPr>
        <w:t xml:space="preserve"> айқындалған мәндерде қолданылады.</w:t>
      </w:r>
    </w:p>
    <w:bookmarkEnd w:id="5"/>
    <w:bookmarkStart w:name="z8" w:id="6"/>
    <w:p>
      <w:pPr>
        <w:spacing w:after="0"/>
        <w:ind w:left="0"/>
        <w:jc w:val="both"/>
      </w:pPr>
      <w:r>
        <w:rPr>
          <w:rFonts w:ascii="Times New Roman"/>
          <w:b w:val="false"/>
          <w:i w:val="false"/>
          <w:color w:val="000000"/>
          <w:sz w:val="28"/>
        </w:rPr>
        <w:t>
      3.  Еуразиялық экономикалық комиссия Еуразиялық экономикалық одақтың интеграцияланған ақпараттық жүйесін пайдалана отырып, мемлекетаралық ақпараттық өзара іс-қимыл тәртібін айқындағанға дейін бақылау шаралары мен нысандары туралы ақпарат алмасуды бақылаушы органдар өз мүше мемлекеттерінің уәкілетті операторлары (органдары) арқылы жүзеге асырады.</w:t>
      </w:r>
    </w:p>
    <w:bookmarkEnd w:id="6"/>
    <w:bookmarkStart w:name="z9" w:id="7"/>
    <w:p>
      <w:pPr>
        <w:spacing w:after="0"/>
        <w:ind w:left="0"/>
        <w:jc w:val="both"/>
      </w:pPr>
      <w:r>
        <w:rPr>
          <w:rFonts w:ascii="Times New Roman"/>
          <w:b w:val="false"/>
          <w:i w:val="false"/>
          <w:color w:val="000000"/>
          <w:sz w:val="28"/>
        </w:rPr>
        <w:t>
      4. Бақылау шаралары мен нысандары туралы ақпарат алмасу мақсатында осындай бақылау шаралары мен нысандарын қолданған бақылаушы орган мынадай мәліметтерді қамтитын хабарлама қалыптастырады:</w:t>
      </w:r>
    </w:p>
    <w:bookmarkEnd w:id="7"/>
    <w:bookmarkStart w:name="z10" w:id="8"/>
    <w:p>
      <w:pPr>
        <w:spacing w:after="0"/>
        <w:ind w:left="0"/>
        <w:jc w:val="both"/>
      </w:pPr>
      <w:r>
        <w:rPr>
          <w:rFonts w:ascii="Times New Roman"/>
          <w:b w:val="false"/>
          <w:i w:val="false"/>
          <w:color w:val="000000"/>
          <w:sz w:val="28"/>
        </w:rPr>
        <w:t>
      а) навигациялық пломбаның бірегей сәйкестендіру нөмірі;</w:t>
      </w:r>
    </w:p>
    <w:bookmarkEnd w:id="8"/>
    <w:bookmarkStart w:name="z11" w:id="9"/>
    <w:p>
      <w:pPr>
        <w:spacing w:after="0"/>
        <w:ind w:left="0"/>
        <w:jc w:val="both"/>
      </w:pPr>
      <w:r>
        <w:rPr>
          <w:rFonts w:ascii="Times New Roman"/>
          <w:b w:val="false"/>
          <w:i w:val="false"/>
          <w:color w:val="000000"/>
          <w:sz w:val="28"/>
        </w:rPr>
        <w:t>
      б) бірегей тасымалдау нөмірі;</w:t>
      </w:r>
    </w:p>
    <w:bookmarkEnd w:id="9"/>
    <w:bookmarkStart w:name="z12" w:id="10"/>
    <w:p>
      <w:pPr>
        <w:spacing w:after="0"/>
        <w:ind w:left="0"/>
        <w:jc w:val="both"/>
      </w:pPr>
      <w:r>
        <w:rPr>
          <w:rFonts w:ascii="Times New Roman"/>
          <w:b w:val="false"/>
          <w:i w:val="false"/>
          <w:color w:val="000000"/>
          <w:sz w:val="28"/>
        </w:rPr>
        <w:t>
      в) бақылау шаралары мен нысандарын қолдану үшін негіздеме;</w:t>
      </w:r>
    </w:p>
    <w:bookmarkEnd w:id="10"/>
    <w:bookmarkStart w:name="z13" w:id="11"/>
    <w:p>
      <w:pPr>
        <w:spacing w:after="0"/>
        <w:ind w:left="0"/>
        <w:jc w:val="both"/>
      </w:pPr>
      <w:r>
        <w:rPr>
          <w:rFonts w:ascii="Times New Roman"/>
          <w:b w:val="false"/>
          <w:i w:val="false"/>
          <w:color w:val="000000"/>
          <w:sz w:val="28"/>
        </w:rPr>
        <w:t>
      г) бақылау шаралары мен нысандарын қолдану туралы шешім қабылдаған бақылаушы органның атауы;</w:t>
      </w:r>
    </w:p>
    <w:bookmarkEnd w:id="11"/>
    <w:bookmarkStart w:name="z14" w:id="12"/>
    <w:p>
      <w:pPr>
        <w:spacing w:after="0"/>
        <w:ind w:left="0"/>
        <w:jc w:val="both"/>
      </w:pPr>
      <w:r>
        <w:rPr>
          <w:rFonts w:ascii="Times New Roman"/>
          <w:b w:val="false"/>
          <w:i w:val="false"/>
          <w:color w:val="000000"/>
          <w:sz w:val="28"/>
        </w:rPr>
        <w:t>
      д) тасымалдаушының атауы;</w:t>
      </w:r>
    </w:p>
    <w:bookmarkEnd w:id="12"/>
    <w:bookmarkStart w:name="z15" w:id="13"/>
    <w:p>
      <w:pPr>
        <w:spacing w:after="0"/>
        <w:ind w:left="0"/>
        <w:jc w:val="both"/>
      </w:pPr>
      <w:r>
        <w:rPr>
          <w:rFonts w:ascii="Times New Roman"/>
          <w:b w:val="false"/>
          <w:i w:val="false"/>
          <w:color w:val="000000"/>
          <w:sz w:val="28"/>
        </w:rPr>
        <w:t>
      е) тасымалдаушыны тіркеу елі;</w:t>
      </w:r>
    </w:p>
    <w:bookmarkEnd w:id="13"/>
    <w:bookmarkStart w:name="z16" w:id="14"/>
    <w:p>
      <w:pPr>
        <w:spacing w:after="0"/>
        <w:ind w:left="0"/>
        <w:jc w:val="both"/>
      </w:pPr>
      <w:r>
        <w:rPr>
          <w:rFonts w:ascii="Times New Roman"/>
          <w:b w:val="false"/>
          <w:i w:val="false"/>
          <w:color w:val="000000"/>
          <w:sz w:val="28"/>
        </w:rPr>
        <w:t>
      ж) көлік құралының тіркеу нөмірі;</w:t>
      </w:r>
    </w:p>
    <w:bookmarkEnd w:id="14"/>
    <w:bookmarkStart w:name="z17" w:id="15"/>
    <w:p>
      <w:pPr>
        <w:spacing w:after="0"/>
        <w:ind w:left="0"/>
        <w:jc w:val="both"/>
      </w:pPr>
      <w:r>
        <w:rPr>
          <w:rFonts w:ascii="Times New Roman"/>
          <w:b w:val="false"/>
          <w:i w:val="false"/>
          <w:color w:val="000000"/>
          <w:sz w:val="28"/>
        </w:rPr>
        <w:t>
      з) бақылау шаралары мен нысандарын қолдану туралы шешім қабылдау күні мен уақыты;</w:t>
      </w:r>
    </w:p>
    <w:bookmarkEnd w:id="15"/>
    <w:bookmarkStart w:name="z18" w:id="16"/>
    <w:p>
      <w:pPr>
        <w:spacing w:after="0"/>
        <w:ind w:left="0"/>
        <w:jc w:val="both"/>
      </w:pPr>
      <w:r>
        <w:rPr>
          <w:rFonts w:ascii="Times New Roman"/>
          <w:b w:val="false"/>
          <w:i w:val="false"/>
          <w:color w:val="000000"/>
          <w:sz w:val="28"/>
        </w:rPr>
        <w:t>
      и) бақылау шаралары мен нысандарын қолданудың басталу күні мен уақыты;</w:t>
      </w:r>
    </w:p>
    <w:bookmarkEnd w:id="16"/>
    <w:bookmarkStart w:name="z19" w:id="17"/>
    <w:p>
      <w:pPr>
        <w:spacing w:after="0"/>
        <w:ind w:left="0"/>
        <w:jc w:val="both"/>
      </w:pPr>
      <w:r>
        <w:rPr>
          <w:rFonts w:ascii="Times New Roman"/>
          <w:b w:val="false"/>
          <w:i w:val="false"/>
          <w:color w:val="000000"/>
          <w:sz w:val="28"/>
        </w:rPr>
        <w:t>
      к) бақылау шаралары мен нысандарын қолдану нәтижелері бойынша ресімделген құжаттың нөмірі;</w:t>
      </w:r>
    </w:p>
    <w:bookmarkEnd w:id="17"/>
    <w:bookmarkStart w:name="z20" w:id="18"/>
    <w:p>
      <w:pPr>
        <w:spacing w:after="0"/>
        <w:ind w:left="0"/>
        <w:jc w:val="both"/>
      </w:pPr>
      <w:r>
        <w:rPr>
          <w:rFonts w:ascii="Times New Roman"/>
          <w:b w:val="false"/>
          <w:i w:val="false"/>
          <w:color w:val="000000"/>
          <w:sz w:val="28"/>
        </w:rPr>
        <w:t>
      л) бақылау шаралары мен нысандарын қолданудың аяқталу күні мен уақыты;</w:t>
      </w:r>
    </w:p>
    <w:bookmarkEnd w:id="18"/>
    <w:bookmarkStart w:name="z21" w:id="19"/>
    <w:p>
      <w:pPr>
        <w:spacing w:after="0"/>
        <w:ind w:left="0"/>
        <w:jc w:val="both"/>
      </w:pPr>
      <w:r>
        <w:rPr>
          <w:rFonts w:ascii="Times New Roman"/>
          <w:b w:val="false"/>
          <w:i w:val="false"/>
          <w:color w:val="000000"/>
          <w:sz w:val="28"/>
        </w:rPr>
        <w:t>
      м) бақылау шаралары мен нысандарын қолдану нәтижелері;</w:t>
      </w:r>
    </w:p>
    <w:bookmarkEnd w:id="19"/>
    <w:bookmarkStart w:name="z22" w:id="20"/>
    <w:p>
      <w:pPr>
        <w:spacing w:after="0"/>
        <w:ind w:left="0"/>
        <w:jc w:val="both"/>
      </w:pPr>
      <w:r>
        <w:rPr>
          <w:rFonts w:ascii="Times New Roman"/>
          <w:b w:val="false"/>
          <w:i w:val="false"/>
          <w:color w:val="000000"/>
          <w:sz w:val="28"/>
        </w:rPr>
        <w:t>
      н) мекенжайы (елдің қысқаша атауы, әкімшілік-аумақтық бірлік (өңір, облыс, аудан және т.б.), елді мекен, көше, үй нөмірі, корпустың (құрылыстың) нөмірі) бақылау шаралары мен нысандарын қолдану орны.</w:t>
      </w:r>
    </w:p>
    <w:bookmarkEnd w:id="20"/>
    <w:bookmarkStart w:name="z23" w:id="21"/>
    <w:p>
      <w:pPr>
        <w:spacing w:after="0"/>
        <w:ind w:left="0"/>
        <w:jc w:val="both"/>
      </w:pPr>
      <w:r>
        <w:rPr>
          <w:rFonts w:ascii="Times New Roman"/>
          <w:b w:val="false"/>
          <w:i w:val="false"/>
          <w:color w:val="000000"/>
          <w:sz w:val="28"/>
        </w:rPr>
        <w:t>
      5. Бақылау шаралары мен нысандарын қолдану аяқталғаннан кейін бақылау шаралары мен нысандарын қолданған бақылаушы орган өз мүше мемлекетінің уәкілетті операторына (органына) осы Тәртіптің4-тармағында көрсетілген хабарламаны жібереді.</w:t>
      </w:r>
    </w:p>
    <w:bookmarkEnd w:id="21"/>
    <w:bookmarkStart w:name="z24" w:id="22"/>
    <w:p>
      <w:pPr>
        <w:spacing w:after="0"/>
        <w:ind w:left="0"/>
        <w:jc w:val="both"/>
      </w:pPr>
      <w:r>
        <w:rPr>
          <w:rFonts w:ascii="Times New Roman"/>
          <w:b w:val="false"/>
          <w:i w:val="false"/>
          <w:color w:val="000000"/>
          <w:sz w:val="28"/>
        </w:rPr>
        <w:t>
      6. Осы Тәртіптің 5-тармағына сәйкес хабарламаны алғаннан кейін бақылаушы органы бақылау шаралары мен нысандарын қолданған мүше мемлекеттің уәкілетті операторы (органы) оны мүмкіндігінше қысқа мерзімде аумақтары бойынша тауарлар (өнімдер) тасымалданатын (тасымалданатын) басқа мүше мемлекеттердің уәкілетті операторларына (органдарына) жібереді.</w:t>
      </w:r>
    </w:p>
    <w:bookmarkEnd w:id="22"/>
    <w:bookmarkStart w:name="z25" w:id="23"/>
    <w:p>
      <w:pPr>
        <w:spacing w:after="0"/>
        <w:ind w:left="0"/>
        <w:jc w:val="both"/>
      </w:pPr>
      <w:r>
        <w:rPr>
          <w:rFonts w:ascii="Times New Roman"/>
          <w:b w:val="false"/>
          <w:i w:val="false"/>
          <w:color w:val="000000"/>
          <w:sz w:val="28"/>
        </w:rPr>
        <w:t>
      Мүше мемлекеттердің уәкілетті операторлары (органдары) көрсетілген хабарламаны мүмкіндігінше қысқа мерзімде өз мүше мемлекеттерінің бақылаушы органдарына жібереді.</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