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2331" w14:textId="4182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құрамында күміс бар өткізгіш пастаны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2023 жылғы 5 қыркүйектегі № 134 шешімі</w:t>
      </w:r>
    </w:p>
    <w:p>
      <w:pPr>
        <w:spacing w:after="0"/>
        <w:ind w:left="0"/>
        <w:jc w:val="both"/>
      </w:pPr>
      <w:bookmarkStart w:name="z1" w:id="0"/>
      <w:r>
        <w:rPr>
          <w:rFonts w:ascii="Times New Roman"/>
          <w:b w:val="false"/>
          <w:i w:val="false"/>
          <w:color w:val="000000"/>
          <w:sz w:val="28"/>
        </w:rPr>
        <w:t xml:space="preserve">
      Еуразиялық экономикалық одағының Кеден кодексінің 22-бабының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комиссиясының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Күміс ұнтағы(49 мас бастап.% және одан да көп), шыны фритталар (висмут оксиді негізінде) және органикалық байланыстырғыштар негізінде тікелей қолдануға дайын қоспасы болып табылатын өткізгіш паста, кейіннен ауада жағу арқылы экранды басып шығару әдісімен автокөлік әйнектерін жылыту жүйесін дайындау кезінде шыны бетінде өткізгіш қабатты қалыптастыру үшін қолданылады және сыртқы экономикалық қызметтің 1 Тауар номенклатурасын түсіндірудің негізгі ережесіне сәйкес Еуразиялық экономикалық одақтың сыртқы экономикалық қызметінің бірыңғай тауар номенклатурасының 7115 тауар позициясында жіктеледі.</w:t>
      </w:r>
    </w:p>
    <w:bookmarkEnd w:id="1"/>
    <w:bookmarkStart w:name="z3" w:id="2"/>
    <w:p>
      <w:pPr>
        <w:spacing w:after="0"/>
        <w:ind w:left="0"/>
        <w:jc w:val="both"/>
      </w:pPr>
      <w:r>
        <w:rPr>
          <w:rFonts w:ascii="Times New Roman"/>
          <w:b w:val="false"/>
          <w:i w:val="false"/>
          <w:color w:val="000000"/>
          <w:sz w:val="28"/>
        </w:rPr>
        <w:t>
      2.  Күміс ұнтағы (44 мас бастап.% және одан да көп), шыны фритталар (висмут оксиді негізінде) және органикалық байланыстырғыштар негізінде тікелей қолдануға дайын қоспасы болып табылатын өткізгіш паста, керамиканың (мысалы, керамикалық конденсаторлар), кремнийдің, оның ішінде фосфорсиликатты әйнекпен қапталған кремнийдің (мысалы, күн батареялары) бетіне жағу үшін, экранды басып шығару әдісімен, содан кейін ауада жағу үшін қолданылады және Сыртқы экономикалық қызметтің 1 Тауар номенклатурасын түсіндірудің негізгі ережесіне сәйкес Еуразиялық экономикалық одақтың сыртқы экономикалық қызметінің бірыңғай тауар номенклатурасының 7115 тауар позициясында жіктеледі.</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30 күнтізбелік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w:t>
            </w:r>
          </w:p>
          <w:p>
            <w:pPr>
              <w:spacing w:after="20"/>
              <w:ind w:left="20"/>
              <w:jc w:val="both"/>
            </w:pPr>
          </w:p>
          <w:p>
            <w:pPr>
              <w:spacing w:after="20"/>
              <w:ind w:left="20"/>
              <w:jc w:val="both"/>
            </w:pPr>
            <w:r>
              <w:rPr>
                <w:rFonts w:ascii="Times New Roman"/>
                <w:b w:val="false"/>
                <w:i/>
                <w:color w:val="000000"/>
                <w:sz w:val="20"/>
              </w:rPr>
              <w:t xml:space="preserve">комиссия 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