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3da4" w14:textId="a6e3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глицерин, глицерин суы және глицерин сілтісіне қатысты Еуразиялық экономикалық одақтың бірыңғай кедендік тарифінің кедендік әкелу бажының мөлшерлемесін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қарашадағы № 155 шешімі</w:t>
      </w:r>
    </w:p>
    <w:p>
      <w:pPr>
        <w:spacing w:after="0"/>
        <w:ind w:left="0"/>
        <w:jc w:val="both"/>
      </w:pPr>
      <w:bookmarkStart w:name="z1" w:id="0"/>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80-шешімімен бекітілген Еуразиялық экономикалық одақтың ЕАЭО СЭҚ 1520 00 000 0 ТН кодымен жіктелетін шикі глицеринге, глицерин суына және глицерин сілтісіне қатысты бірыңғай кедендік тарифінің кедендік әкелу бажының мөлшерлемесі осы шешім күшіне енген күннен бастап 2025 жылғы 31 желтоқсанды қоса алғанға дейін кедендік құнның 0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1520 00 000 0 коды бар позиция төртінші бағанда "</w:t>
      </w:r>
      <w:r>
        <w:rPr>
          <w:rFonts w:ascii="Times New Roman"/>
          <w:b w:val="false"/>
          <w:i w:val="false"/>
          <w:color w:val="000000"/>
          <w:vertAlign w:val="superscript"/>
        </w:rPr>
        <w:t>80C</w:t>
      </w:r>
      <w:r>
        <w:rPr>
          <w:rFonts w:ascii="Times New Roman"/>
          <w:b w:val="false"/>
          <w:i w:val="false"/>
          <w:color w:val="000000"/>
          <w:sz w:val="28"/>
        </w:rPr>
        <w:t>)" ескертпесіне сілтемемен толықтырылсын;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80С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80С)</w:t>
      </w:r>
      <w:r>
        <w:rPr>
          <w:rFonts w:ascii="Times New Roman"/>
          <w:b w:val="false"/>
          <w:i w:val="false"/>
          <w:color w:val="000000"/>
          <w:sz w:val="28"/>
        </w:rPr>
        <w:t xml:space="preserve"> Кедендік құнның 0 (нөл) % мөлшеріндегі кедендік әкелу бажының мөлшерлемесі Еуразиялық экономикалық комиссия алқасының 2023 жылғы 14 қарашадағы № 155-шешімі күшіне енген күннен бастап, 31.12.2025 дейін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