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3aab" w14:textId="0053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7 ақпандағы Еуразиялық экономикалық комиссиясы алқасының № 21-шешіміне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10 қаңтардағы № 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(2014 жылғы 29 мамырдағы Еуразиялық экономикалық одақ туралы шартқа тіркелген № 9-қосымша) және 2014 жылғы 23 желтоқсандағы Жоғары Еуразиялық экономикалық кеңестің № 98-шешімімен бекітілген Еуразиялық экономикалық комиссия жұмысының регламентіне № 2-қосымшаның 5-тармағына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 жылғы 7 ақпандағы Еуразиялық экономикалық комиссиясы алқасының № 21 "Халықаралық және өңірлік (мемлекетаралық) стандарттардың, ал олар болмаған жағдайда – Ұлттық (мемлекеттік) стандарттардың тізбесі туралы, оларды қолдану нәтижесінде "Тағамдық қоспалар, хош иістендіргіштер және технологиялық көмекші құралдар қауіпсіздігінің талаптары" Кеден одағының техникалық регламентінің талаптарын ерікті негізде сақтау қамтамасыз етіледі (КО ТР 029/2012), және халықаралық және өңірлік (мемлекетаралық) стандарттардың, ал олар болмаған жағдайда – зерттеу (сынау) және өлшеу қағидалары мен әдістері, оның ішінде "Тағамдық қоспалардың, хош иістендіргіштердің және технологиялық көмекші құралдардың қауіпсіздігі талаптары" Кеден одағының техникалық регламентінің талаптарын қолдану және орындау үшін қажетті үлгілерді іріктеу қағидалары қамтылған ұлттық (Мемлекеттік) стандарттардың тізбесі (КО ТР 029/2012) және техникалық реттеу объектілерінің сәйкестігін бағалауды жүзеге асыру" </w:t>
      </w:r>
      <w:r>
        <w:rPr>
          <w:rFonts w:ascii="Times New Roman"/>
          <w:b w:val="false"/>
          <w:i w:val="false"/>
          <w:color w:val="000000"/>
          <w:sz w:val="28"/>
        </w:rPr>
        <w:t>шешіміне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2023 жылғы 29 тамыздағы Еуразиялық экономикалық комиссиясы кеңесінің № 84-шешімі күшіне енген күннен ерте емес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қаңтардағы</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 2-шешіміне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2018 жылғы 7 ақпандағы Еуразиялық экономикалық комиссиясы алқасының № 21-шешіміне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Халықаралық және өңірлік (мемлекетаралық) стандарттар </w:t>
      </w:r>
      <w:r>
        <w:rPr>
          <w:rFonts w:ascii="Times New Roman"/>
          <w:b w:val="false"/>
          <w:i w:val="false"/>
          <w:color w:val="000000"/>
          <w:sz w:val="28"/>
        </w:rPr>
        <w:t>тізбесінде</w:t>
      </w:r>
      <w:r>
        <w:rPr>
          <w:rFonts w:ascii="Times New Roman"/>
          <w:b w:val="false"/>
          <w:i w:val="false"/>
          <w:color w:val="000000"/>
          <w:sz w:val="28"/>
        </w:rPr>
        <w:t>, ал олар болмаған жағдайда – Ұлттық (мемлекеттік) стандарттар, оларды қолдану нәтижесінде көрсетілген шешіммен бекітілген "Тамақ қоспаларының, хош иістендіргіштердің және технологиялық қосалқы құралдардың қауіпсіздік талаптары" Кеден одағының техникалық регламентінің (КО ТР 029/2012) талаптарын ерікті негізде сақтау қамтамасыз етіледі:</w:t>
      </w:r>
    </w:p>
    <w:bookmarkStart w:name="z7" w:id="2"/>
    <w:p>
      <w:pPr>
        <w:spacing w:after="0"/>
        <w:ind w:left="0"/>
        <w:jc w:val="both"/>
      </w:pPr>
      <w:r>
        <w:rPr>
          <w:rFonts w:ascii="Times New Roman"/>
          <w:b w:val="false"/>
          <w:i w:val="false"/>
          <w:color w:val="000000"/>
          <w:sz w:val="28"/>
        </w:rPr>
        <w:t>
      а) 6 және 7 позициялар алынып тасталсын;</w:t>
      </w:r>
    </w:p>
    <w:bookmarkEnd w:id="2"/>
    <w:bookmarkStart w:name="z8" w:id="3"/>
    <w:p>
      <w:pPr>
        <w:spacing w:after="0"/>
        <w:ind w:left="0"/>
        <w:jc w:val="both"/>
      </w:pPr>
      <w:r>
        <w:rPr>
          <w:rFonts w:ascii="Times New Roman"/>
          <w:b w:val="false"/>
          <w:i w:val="false"/>
          <w:color w:val="000000"/>
          <w:sz w:val="28"/>
        </w:rPr>
        <w:t>
      б) мынадай мазмұндағы 7</w:t>
      </w:r>
      <w:r>
        <w:rPr>
          <w:rFonts w:ascii="Times New Roman"/>
          <w:b w:val="false"/>
          <w:i w:val="false"/>
          <w:color w:val="000000"/>
          <w:vertAlign w:val="superscript"/>
        </w:rPr>
        <w:t>1</w:t>
      </w: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41</w:t>
      </w:r>
      <w:r>
        <w:rPr>
          <w:rFonts w:ascii="Times New Roman"/>
          <w:b w:val="false"/>
          <w:i w:val="false"/>
          <w:color w:val="000000"/>
          <w:vertAlign w:val="superscript"/>
        </w:rPr>
        <w:t>1</w:t>
      </w:r>
      <w:r>
        <w:rPr>
          <w:rFonts w:ascii="Times New Roman"/>
          <w:b w:val="false"/>
          <w:i w:val="false"/>
          <w:color w:val="000000"/>
          <w:sz w:val="28"/>
        </w:rPr>
        <w:t>, 50</w:t>
      </w:r>
      <w:r>
        <w:rPr>
          <w:rFonts w:ascii="Times New Roman"/>
          <w:b w:val="false"/>
          <w:i w:val="false"/>
          <w:color w:val="000000"/>
          <w:vertAlign w:val="superscript"/>
        </w:rPr>
        <w:t xml:space="preserve">1 </w:t>
      </w:r>
      <w:r>
        <w:rPr>
          <w:rFonts w:ascii="Times New Roman"/>
          <w:b w:val="false"/>
          <w:i w:val="false"/>
          <w:color w:val="000000"/>
          <w:sz w:val="28"/>
        </w:rPr>
        <w:t>– 50</w:t>
      </w:r>
      <w:r>
        <w:rPr>
          <w:rFonts w:ascii="Times New Roman"/>
          <w:b w:val="false"/>
          <w:i w:val="false"/>
          <w:color w:val="000000"/>
          <w:vertAlign w:val="superscript"/>
        </w:rPr>
        <w:t>5</w:t>
      </w:r>
      <w:r>
        <w:rPr>
          <w:rFonts w:ascii="Times New Roman"/>
          <w:b w:val="false"/>
          <w:i w:val="false"/>
          <w:color w:val="000000"/>
          <w:sz w:val="28"/>
        </w:rPr>
        <w:t>, 66</w:t>
      </w:r>
      <w:r>
        <w:rPr>
          <w:rFonts w:ascii="Times New Roman"/>
          <w:b w:val="false"/>
          <w:i w:val="false"/>
          <w:color w:val="000000"/>
          <w:vertAlign w:val="superscript"/>
        </w:rPr>
        <w:t>1</w:t>
      </w:r>
      <w:r>
        <w:rPr>
          <w:rFonts w:ascii="Times New Roman"/>
          <w:b w:val="false"/>
          <w:i w:val="false"/>
          <w:color w:val="000000"/>
          <w:sz w:val="28"/>
        </w:rPr>
        <w:t xml:space="preserve"> және 67 позициялармен толықтырылсын: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57095-2016 МЕМСТ "Биотехнология.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22840-77 МЕМСТ 1.2-тармағы "Мия тамырының сығындысы.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32891-2014 МЕМСТ 4.1.2-тармағы "Сүт ұю ферменттеріне арналған бұзаулардың, қозылардың, ешкілердің ұлтабары.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34097-2017 МЕМСТ 3.1.4 және 3.1.5-тармағы "Тағамдық қоспалар. Е585Темір лактаты.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34098-2017 МЕМСТ 3.1.4 және 3.1.5-тармағы "Тағамдық қоспалар. Е251 Натрий нитраты.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34353-2017 МЕМСТ 5.1.2 және 5.1.3-тармағы "Құрғақ, жануарлардан алынатын ферментті сүт ұюы препараттары.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35030-2023 МЕМСТ 4.1.2 және 4.1.3-тармағы "Ұнды өңдеуге арналған күрделі тағамдық қоспалар.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35031-2023 МЕМСТ 4.1.2 және 4.1.3-тармағы "Қамырдың көлемін ұлғайтуға арналған кешенді тағамдық қоспалар.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57646-2017 МЕМСТ 3.2.2 – 3.2.4-тармағы "Микробиологиялық өнімдер. Низин тағамдық қоспалары.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9-баптар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57249-2016 МЕМСТ "Ферменттік препараттар. Орау, таңбалау, тасымалдау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Халықаралық және өңірлік (мемлекетаралық) стандарттардың, ал олар болмаған жағдайда – зерттеу (сынау) және өлшеу қағидалары мен әдістері, оның ішінде "Тағамдық қоспалардың, хош иістендіргіштердің және технологиялық қосалқы құралдардың қауіпсіздігі талаптары" Кеден одағының техникалық регламентінің талаптарын қолдану және орындау үшін қажетті үлгілерді іріктеу қағидалары қамтылған ұлттық (мемлекеттік) стандарттардың тізбесі" (КО ТР 029/2012) және көрсетілген шешіммен бекітілген Техникалық реттеу объектілерінің сәйкестігін бағалауды жүзеге асыру, мынадай мазмұндағы 15</w:t>
      </w:r>
      <w:r>
        <w:rPr>
          <w:rFonts w:ascii="Times New Roman"/>
          <w:b w:val="false"/>
          <w:i w:val="false"/>
          <w:color w:val="000000"/>
          <w:vertAlign w:val="superscript"/>
        </w:rPr>
        <w:t>1</w:t>
      </w:r>
      <w:r>
        <w:rPr>
          <w:rFonts w:ascii="Times New Roman"/>
          <w:b w:val="false"/>
          <w:i w:val="false"/>
          <w:color w:val="000000"/>
          <w:sz w:val="28"/>
        </w:rPr>
        <w:t>, 15</w:t>
      </w:r>
      <w:r>
        <w:rPr>
          <w:rFonts w:ascii="Times New Roman"/>
          <w:b w:val="false"/>
          <w:i w:val="false"/>
          <w:color w:val="000000"/>
          <w:vertAlign w:val="superscript"/>
        </w:rPr>
        <w:t>2</w:t>
      </w:r>
      <w:r>
        <w:rPr>
          <w:rFonts w:ascii="Times New Roman"/>
          <w:b w:val="false"/>
          <w:i w:val="false"/>
          <w:color w:val="000000"/>
          <w:sz w:val="28"/>
        </w:rPr>
        <w:t>, 27</w:t>
      </w:r>
      <w:r>
        <w:rPr>
          <w:rFonts w:ascii="Times New Roman"/>
          <w:b w:val="false"/>
          <w:i w:val="false"/>
          <w:color w:val="000000"/>
          <w:vertAlign w:val="superscript"/>
        </w:rPr>
        <w:t>1</w:t>
      </w:r>
      <w:r>
        <w:rPr>
          <w:rFonts w:ascii="Times New Roman"/>
          <w:b w:val="false"/>
          <w:i w:val="false"/>
          <w:color w:val="000000"/>
          <w:sz w:val="28"/>
        </w:rPr>
        <w:t>, 27</w:t>
      </w:r>
      <w:r>
        <w:rPr>
          <w:rFonts w:ascii="Times New Roman"/>
          <w:b w:val="false"/>
          <w:i w:val="false"/>
          <w:color w:val="000000"/>
          <w:vertAlign w:val="superscript"/>
        </w:rPr>
        <w:t>2</w:t>
      </w:r>
      <w:r>
        <w:rPr>
          <w:rFonts w:ascii="Times New Roman"/>
          <w:b w:val="false"/>
          <w:i w:val="false"/>
          <w:color w:val="000000"/>
          <w:sz w:val="28"/>
        </w:rPr>
        <w:t>, 31</w:t>
      </w:r>
      <w:r>
        <w:rPr>
          <w:rFonts w:ascii="Times New Roman"/>
          <w:b w:val="false"/>
          <w:i w:val="false"/>
          <w:color w:val="000000"/>
          <w:vertAlign w:val="superscript"/>
        </w:rPr>
        <w:t>1</w:t>
      </w:r>
      <w:r>
        <w:rPr>
          <w:rFonts w:ascii="Times New Roman"/>
          <w:b w:val="false"/>
          <w:i w:val="false"/>
          <w:color w:val="000000"/>
          <w:sz w:val="28"/>
        </w:rPr>
        <w:t>, 41</w:t>
      </w:r>
      <w:r>
        <w:rPr>
          <w:rFonts w:ascii="Times New Roman"/>
          <w:b w:val="false"/>
          <w:i w:val="false"/>
          <w:color w:val="000000"/>
          <w:vertAlign w:val="superscript"/>
        </w:rPr>
        <w:t>1</w:t>
      </w:r>
      <w:r>
        <w:rPr>
          <w:rFonts w:ascii="Times New Roman"/>
          <w:b w:val="false"/>
          <w:i w:val="false"/>
          <w:color w:val="000000"/>
          <w:sz w:val="28"/>
        </w:rPr>
        <w:t>, 41</w:t>
      </w:r>
      <w:r>
        <w:rPr>
          <w:rFonts w:ascii="Times New Roman"/>
          <w:b w:val="false"/>
          <w:i w:val="false"/>
          <w:color w:val="000000"/>
          <w:vertAlign w:val="superscript"/>
        </w:rPr>
        <w:t>2</w:t>
      </w:r>
      <w:r>
        <w:rPr>
          <w:rFonts w:ascii="Times New Roman"/>
          <w:b w:val="false"/>
          <w:i w:val="false"/>
          <w:color w:val="000000"/>
          <w:sz w:val="28"/>
        </w:rPr>
        <w:t>, 68</w:t>
      </w:r>
      <w:r>
        <w:rPr>
          <w:rFonts w:ascii="Times New Roman"/>
          <w:b w:val="false"/>
          <w:i w:val="false"/>
          <w:color w:val="000000"/>
          <w:vertAlign w:val="superscript"/>
        </w:rPr>
        <w:t>1</w:t>
      </w:r>
      <w:r>
        <w:rPr>
          <w:rFonts w:ascii="Times New Roman"/>
          <w:b w:val="false"/>
          <w:i w:val="false"/>
          <w:color w:val="000000"/>
          <w:sz w:val="28"/>
        </w:rPr>
        <w:t xml:space="preserve"> – 68</w:t>
      </w:r>
      <w:r>
        <w:rPr>
          <w:rFonts w:ascii="Times New Roman"/>
          <w:b w:val="false"/>
          <w:i w:val="false"/>
          <w:color w:val="000000"/>
          <w:vertAlign w:val="superscript"/>
        </w:rPr>
        <w:t>10</w:t>
      </w:r>
      <w:r>
        <w:rPr>
          <w:rFonts w:ascii="Times New Roman"/>
          <w:b w:val="false"/>
          <w:i w:val="false"/>
          <w:color w:val="000000"/>
          <w:sz w:val="28"/>
        </w:rPr>
        <w:t>, 73</w:t>
      </w:r>
      <w:r>
        <w:rPr>
          <w:rFonts w:ascii="Times New Roman"/>
          <w:b w:val="false"/>
          <w:i w:val="false"/>
          <w:color w:val="000000"/>
          <w:vertAlign w:val="superscript"/>
        </w:rPr>
        <w:t>1</w:t>
      </w:r>
      <w:r>
        <w:rPr>
          <w:rFonts w:ascii="Times New Roman"/>
          <w:b w:val="false"/>
          <w:i w:val="false"/>
          <w:color w:val="000000"/>
          <w:sz w:val="28"/>
        </w:rPr>
        <w:t>, 73</w:t>
      </w:r>
      <w:r>
        <w:rPr>
          <w:rFonts w:ascii="Times New Roman"/>
          <w:b w:val="false"/>
          <w:i w:val="false"/>
          <w:color w:val="000000"/>
          <w:vertAlign w:val="superscript"/>
        </w:rPr>
        <w:t>2</w:t>
      </w:r>
      <w:r>
        <w:rPr>
          <w:rFonts w:ascii="Times New Roman"/>
          <w:b w:val="false"/>
          <w:i w:val="false"/>
          <w:color w:val="000000"/>
          <w:sz w:val="28"/>
        </w:rPr>
        <w:t>, 75</w:t>
      </w:r>
      <w:r>
        <w:rPr>
          <w:rFonts w:ascii="Times New Roman"/>
          <w:b w:val="false"/>
          <w:i w:val="false"/>
          <w:color w:val="000000"/>
          <w:vertAlign w:val="superscript"/>
        </w:rPr>
        <w:t>1</w:t>
      </w:r>
      <w:r>
        <w:rPr>
          <w:rFonts w:ascii="Times New Roman"/>
          <w:b w:val="false"/>
          <w:i w:val="false"/>
          <w:color w:val="000000"/>
          <w:sz w:val="28"/>
        </w:rPr>
        <w:t xml:space="preserve"> – 75</w:t>
      </w:r>
      <w:r>
        <w:rPr>
          <w:rFonts w:ascii="Times New Roman"/>
          <w:b w:val="false"/>
          <w:i w:val="false"/>
          <w:color w:val="000000"/>
          <w:vertAlign w:val="superscript"/>
        </w:rPr>
        <w:t>6</w:t>
      </w:r>
      <w:r>
        <w:rPr>
          <w:rFonts w:ascii="Times New Roman"/>
          <w:b w:val="false"/>
          <w:i w:val="false"/>
          <w:color w:val="000000"/>
          <w:sz w:val="28"/>
        </w:rPr>
        <w:t>, 77</w:t>
      </w:r>
      <w:r>
        <w:rPr>
          <w:rFonts w:ascii="Times New Roman"/>
          <w:b w:val="false"/>
          <w:i w:val="false"/>
          <w:color w:val="000000"/>
          <w:vertAlign w:val="superscript"/>
        </w:rPr>
        <w:t>1</w:t>
      </w:r>
      <w:r>
        <w:rPr>
          <w:rFonts w:ascii="Times New Roman"/>
          <w:b w:val="false"/>
          <w:i w:val="false"/>
          <w:color w:val="000000"/>
          <w:sz w:val="28"/>
        </w:rPr>
        <w:t xml:space="preserve"> – 77</w:t>
      </w:r>
      <w:r>
        <w:rPr>
          <w:rFonts w:ascii="Times New Roman"/>
          <w:b w:val="false"/>
          <w:i w:val="false"/>
          <w:color w:val="000000"/>
          <w:vertAlign w:val="superscript"/>
        </w:rPr>
        <w:t>4</w:t>
      </w:r>
      <w:r>
        <w:rPr>
          <w:rFonts w:ascii="Times New Roman"/>
          <w:b w:val="false"/>
          <w:i w:val="false"/>
          <w:color w:val="000000"/>
          <w:sz w:val="28"/>
        </w:rPr>
        <w:t>, 79</w:t>
      </w:r>
      <w:r>
        <w:rPr>
          <w:rFonts w:ascii="Times New Roman"/>
          <w:b w:val="false"/>
          <w:i w:val="false"/>
          <w:color w:val="000000"/>
          <w:vertAlign w:val="superscript"/>
        </w:rPr>
        <w:t>1</w:t>
      </w:r>
      <w:r>
        <w:rPr>
          <w:rFonts w:ascii="Times New Roman"/>
          <w:b w:val="false"/>
          <w:i w:val="false"/>
          <w:color w:val="000000"/>
          <w:sz w:val="28"/>
        </w:rPr>
        <w:t xml:space="preserve"> – 79</w:t>
      </w:r>
      <w:r>
        <w:rPr>
          <w:rFonts w:ascii="Times New Roman"/>
          <w:b w:val="false"/>
          <w:i w:val="false"/>
          <w:color w:val="000000"/>
          <w:vertAlign w:val="superscript"/>
        </w:rPr>
        <w:t>3</w:t>
      </w:r>
      <w:r>
        <w:rPr>
          <w:rFonts w:ascii="Times New Roman"/>
          <w:b w:val="false"/>
          <w:i w:val="false"/>
          <w:color w:val="000000"/>
          <w:sz w:val="28"/>
        </w:rPr>
        <w:t>, 81</w:t>
      </w:r>
      <w:r>
        <w:rPr>
          <w:rFonts w:ascii="Times New Roman"/>
          <w:b w:val="false"/>
          <w:i w:val="false"/>
          <w:color w:val="000000"/>
          <w:vertAlign w:val="superscript"/>
        </w:rPr>
        <w:t>1</w:t>
      </w:r>
      <w:r>
        <w:rPr>
          <w:rFonts w:ascii="Times New Roman"/>
          <w:b w:val="false"/>
          <w:i w:val="false"/>
          <w:color w:val="000000"/>
          <w:sz w:val="28"/>
        </w:rPr>
        <w:t>, 106</w:t>
      </w:r>
      <w:r>
        <w:rPr>
          <w:rFonts w:ascii="Times New Roman"/>
          <w:b w:val="false"/>
          <w:i w:val="false"/>
          <w:color w:val="000000"/>
          <w:vertAlign w:val="superscript"/>
        </w:rPr>
        <w:t>1</w:t>
      </w:r>
      <w:r>
        <w:rPr>
          <w:rFonts w:ascii="Times New Roman"/>
          <w:b w:val="false"/>
          <w:i w:val="false"/>
          <w:color w:val="000000"/>
          <w:sz w:val="28"/>
        </w:rPr>
        <w:t xml:space="preserve"> – 106</w:t>
      </w:r>
      <w:r>
        <w:rPr>
          <w:rFonts w:ascii="Times New Roman"/>
          <w:b w:val="false"/>
          <w:i w:val="false"/>
          <w:color w:val="000000"/>
          <w:vertAlign w:val="superscript"/>
        </w:rPr>
        <w:t>3</w:t>
      </w:r>
      <w:r>
        <w:rPr>
          <w:rFonts w:ascii="Times New Roman"/>
          <w:b w:val="false"/>
          <w:i w:val="false"/>
          <w:color w:val="000000"/>
          <w:sz w:val="28"/>
        </w:rPr>
        <w:t>, 109</w:t>
      </w:r>
      <w:r>
        <w:rPr>
          <w:rFonts w:ascii="Times New Roman"/>
          <w:b w:val="false"/>
          <w:i w:val="false"/>
          <w:color w:val="000000"/>
          <w:vertAlign w:val="superscript"/>
        </w:rPr>
        <w:t>1</w:t>
      </w:r>
      <w:r>
        <w:rPr>
          <w:rFonts w:ascii="Times New Roman"/>
          <w:b w:val="false"/>
          <w:i w:val="false"/>
          <w:color w:val="000000"/>
          <w:sz w:val="28"/>
        </w:rPr>
        <w:t>, 121</w:t>
      </w:r>
      <w:r>
        <w:rPr>
          <w:rFonts w:ascii="Times New Roman"/>
          <w:b w:val="false"/>
          <w:i w:val="false"/>
          <w:color w:val="000000"/>
          <w:vertAlign w:val="superscript"/>
        </w:rPr>
        <w:t>1</w:t>
      </w:r>
      <w:r>
        <w:rPr>
          <w:rFonts w:ascii="Times New Roman"/>
          <w:b w:val="false"/>
          <w:i w:val="false"/>
          <w:color w:val="000000"/>
          <w:sz w:val="28"/>
        </w:rPr>
        <w:t>, 124</w:t>
      </w:r>
      <w:r>
        <w:rPr>
          <w:rFonts w:ascii="Times New Roman"/>
          <w:b w:val="false"/>
          <w:i w:val="false"/>
          <w:color w:val="000000"/>
          <w:vertAlign w:val="superscript"/>
        </w:rPr>
        <w:t>1</w:t>
      </w:r>
      <w:r>
        <w:rPr>
          <w:rFonts w:ascii="Times New Roman"/>
          <w:b w:val="false"/>
          <w:i w:val="false"/>
          <w:color w:val="000000"/>
          <w:sz w:val="28"/>
        </w:rPr>
        <w:t xml:space="preserve"> – 124</w:t>
      </w:r>
      <w:r>
        <w:rPr>
          <w:rFonts w:ascii="Times New Roman"/>
          <w:b w:val="false"/>
          <w:i w:val="false"/>
          <w:color w:val="000000"/>
          <w:vertAlign w:val="superscript"/>
        </w:rPr>
        <w:t>7</w:t>
      </w:r>
      <w:r>
        <w:rPr>
          <w:rFonts w:ascii="Times New Roman"/>
          <w:b w:val="false"/>
          <w:i w:val="false"/>
          <w:color w:val="000000"/>
          <w:sz w:val="28"/>
        </w:rPr>
        <w:t>, 126</w:t>
      </w:r>
      <w:r>
        <w:rPr>
          <w:rFonts w:ascii="Times New Roman"/>
          <w:b w:val="false"/>
          <w:i w:val="false"/>
          <w:color w:val="000000"/>
          <w:vertAlign w:val="superscript"/>
        </w:rPr>
        <w:t>1</w:t>
      </w:r>
      <w:r>
        <w:rPr>
          <w:rFonts w:ascii="Times New Roman"/>
          <w:b w:val="false"/>
          <w:i w:val="false"/>
          <w:color w:val="000000"/>
          <w:sz w:val="28"/>
        </w:rPr>
        <w:t>, 128</w:t>
      </w:r>
      <w:r>
        <w:rPr>
          <w:rFonts w:ascii="Times New Roman"/>
          <w:b w:val="false"/>
          <w:i w:val="false"/>
          <w:color w:val="000000"/>
          <w:vertAlign w:val="superscript"/>
        </w:rPr>
        <w:t>1</w:t>
      </w:r>
      <w:r>
        <w:rPr>
          <w:rFonts w:ascii="Times New Roman"/>
          <w:b w:val="false"/>
          <w:i w:val="false"/>
          <w:color w:val="000000"/>
          <w:sz w:val="28"/>
        </w:rPr>
        <w:t>, 128</w:t>
      </w:r>
      <w:r>
        <w:rPr>
          <w:rFonts w:ascii="Times New Roman"/>
          <w:b w:val="false"/>
          <w:i w:val="false"/>
          <w:color w:val="000000"/>
          <w:vertAlign w:val="superscript"/>
        </w:rPr>
        <w:t>2</w:t>
      </w:r>
      <w:r>
        <w:rPr>
          <w:rFonts w:ascii="Times New Roman"/>
          <w:b w:val="false"/>
          <w:i w:val="false"/>
          <w:color w:val="000000"/>
          <w:sz w:val="28"/>
        </w:rPr>
        <w:t>, 142</w:t>
      </w:r>
      <w:r>
        <w:rPr>
          <w:rFonts w:ascii="Times New Roman"/>
          <w:b w:val="false"/>
          <w:i w:val="false"/>
          <w:color w:val="000000"/>
          <w:vertAlign w:val="superscript"/>
        </w:rPr>
        <w:t>1</w:t>
      </w:r>
      <w:r>
        <w:rPr>
          <w:rFonts w:ascii="Times New Roman"/>
          <w:b w:val="false"/>
          <w:i w:val="false"/>
          <w:color w:val="000000"/>
          <w:sz w:val="28"/>
        </w:rPr>
        <w:t>, 142</w:t>
      </w:r>
      <w:r>
        <w:rPr>
          <w:rFonts w:ascii="Times New Roman"/>
          <w:b w:val="false"/>
          <w:i w:val="false"/>
          <w:color w:val="000000"/>
          <w:vertAlign w:val="superscript"/>
        </w:rPr>
        <w:t>2</w:t>
      </w:r>
      <w:r>
        <w:rPr>
          <w:rFonts w:ascii="Times New Roman"/>
          <w:b w:val="false"/>
          <w:i w:val="false"/>
          <w:color w:val="000000"/>
          <w:sz w:val="28"/>
        </w:rPr>
        <w:t>, 145</w:t>
      </w:r>
      <w:r>
        <w:rPr>
          <w:rFonts w:ascii="Times New Roman"/>
          <w:b w:val="false"/>
          <w:i w:val="false"/>
          <w:color w:val="000000"/>
          <w:vertAlign w:val="superscript"/>
        </w:rPr>
        <w:t>1</w:t>
      </w:r>
      <w:r>
        <w:rPr>
          <w:rFonts w:ascii="Times New Roman"/>
          <w:b w:val="false"/>
          <w:i w:val="false"/>
          <w:color w:val="000000"/>
          <w:sz w:val="28"/>
        </w:rPr>
        <w:t>, 147</w:t>
      </w:r>
      <w:r>
        <w:rPr>
          <w:rFonts w:ascii="Times New Roman"/>
          <w:b w:val="false"/>
          <w:i w:val="false"/>
          <w:color w:val="000000"/>
          <w:vertAlign w:val="superscript"/>
        </w:rPr>
        <w:t>2</w:t>
      </w:r>
      <w:r>
        <w:rPr>
          <w:rFonts w:ascii="Times New Roman"/>
          <w:b w:val="false"/>
          <w:i w:val="false"/>
          <w:color w:val="000000"/>
          <w:sz w:val="28"/>
        </w:rPr>
        <w:t xml:space="preserve"> и 147</w:t>
      </w:r>
      <w:r>
        <w:rPr>
          <w:rFonts w:ascii="Times New Roman"/>
          <w:b w:val="false"/>
          <w:i w:val="false"/>
          <w:color w:val="000000"/>
          <w:vertAlign w:val="superscript"/>
        </w:rPr>
        <w:t>3</w:t>
      </w:r>
      <w:r>
        <w:rPr>
          <w:rFonts w:ascii="Times New Roman"/>
          <w:b w:val="false"/>
          <w:i w:val="false"/>
          <w:color w:val="000000"/>
          <w:sz w:val="28"/>
        </w:rPr>
        <w:t xml:space="preserve"> позициялармен толықтыру:</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20264.0-74 МЕМСТ "Ферменттік препараттар. Сынамаларды қабылдау ережелері мен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20264.1-89 МЕМСТ "Ферменттік препараттар. Органолептикалық, физика-химиялық және микробиологиялық көрсеткіштерді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31487-2012 МЕМСТ "Ферменттік препараттар. Фитазаның ферментативті белсенділігін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31488-2012 МЕМСТ "Ферменттік препараттар. Ксиланазаның ферментативті белсенділігін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31662-2012 МЕМСТ "Ферменттік препараттар. Целлюлазаның ферментативті белсенділігін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32364-2013 МЕМСТ "Тағамдық хош иістер. Ылғалдың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32365-2013 МЕМСТ "Тағамдық хош иістер. Этил спиртінің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34097-2017 МЕМСТ 6.8-тармағы "Тағамдық қоспалар. Е585 Темір лактаты.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34098-2017 МЕМСТ 6.6-тармағы "Тағамдық қоспалар. Е251 Натрий нитраты.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34146-2017 МЕМСТ "Тағамдық қоспалар. Куркумин Е10 негізгі бояғыш заттың тағамдық бояғыштың массалық үлесін анықтау және анықтау әдістері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34176-2017 МЕМСТ "Ферменттік препараттар. Ферментативті белсенділікті анықтау әдістері эндо-бета-глюканазалар"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34412-2018 МЕМСТ "Пектин. Сәйкестендіру. Амидтелген пектиндерді экспресс-сәйкестендіру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қосылған күннен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34413-2018 МЕМСТ "Пектин. Сәйкестендіру. Пектиндерді жедел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қосылған күннен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34430-2018 МЕМСТ "Тамақ өнеркәсібіне арналған ферменттік препараттар. Протеолитикалық белсенділікті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34440-2018 МЕМСТ "Тамақ өнеркәсібіне арналған ферменттік препараттар. Амилолитикалық белсенділікті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34985-2023 МЕМСТ "Тағамдық қоспалар. Е101 Рибофлавина бояуын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34990-2023 МЕМСТ 3.1.5 және 3.1.6-тармақтары "Тағамдық қоспалар. Е316 Натрий изоаскорбат.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53969-2010 МЕМСТ "Лимон қышқылының тағамдық тұздары (цитраттар). Ылғалдың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53973-2010 МЕМСТ "Тамақ өнеркәсібіне арналған ферменттік препараттар. </w:t>
            </w:r>
            <w:r>
              <w:rPr>
                <w:rFonts w:ascii="Times New Roman"/>
                <w:b w:val="false"/>
                <w:i w:val="false"/>
                <w:color w:val="000000"/>
                <w:sz w:val="20"/>
              </w:rPr>
              <w:t>B</w:t>
            </w:r>
            <w:r>
              <w:rPr>
                <w:rFonts w:ascii="Times New Roman"/>
                <w:b w:val="false"/>
                <w:i w:val="false"/>
                <w:color w:val="000000"/>
                <w:sz w:val="20"/>
              </w:rPr>
              <w:t>-глюканаза белсенділігін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55228-2012 МЕМСТ "Тағамдық қоспалар. Лимон қышқылын өндірудегі лимон және ілеспе қышқылдардың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55229-2012 МЕМСТ "Тағамдық қоспалар. Лимон қышқылын өндіруге арналған шикізаттағы жалпы фосфордың массалық үлесін анықтаудың колориметриялық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55298-2012 МЕМСТ "Тамақ өнеркәсібіне арналған ферменттік препараттар. Пектолитикалық белсенділікті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55979-2014 МЕМСТ "Тамақ өнеркәсібіне арналған ферменттік препараттар. Пектат-және пектин-лиаздық белсенділікті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57248-2016 МЕМСТ "Ферменттік препараттар. Сынамаларды қабылдау ережелері мен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70224-2022 МЕМСТ "Тағамдық қоспалар. Күрделі тағамдық қоспалардағы пропионат иондарын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11815-2015 МЕМСТ "Сүт. Сиыр етінің жалпы сүт ұю белсенділігін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15163-2014 МЕМСТ "Сүт және сүт өнімдері. Бұзау ұлтабарынан жасалған бүйрек және ірі қара малдың ұлтабарынан алынған ферменттік препарат. Хроматография әдісімен химозин мен сиыр пепсинінің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ISO/TS 18083-2015 МЕМСТ "Балқытылған ірімшік өнімдері. Фосфор түрінде көрсетілген қосылған фосфат құрамын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22160-2015 МЕМСТ "Сүт және сүт сусындары. Сілтілік фосфатаза белсенділігін анықтау. Фотоактивті ферменттік жүйені қолдану әдісі (EPAS)"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32009-2013 МЕМСТ (ISO 13730:1996) "Ет және ет өнімдері. Жалпы фосфордың массалық үлесін анықтаудың спектрофотометриялық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 12014-3-2015 МЕМСТ "Азық-түлік өнімдері. Нитрат және/немесе нитрит құрамын анықтау. 3 бөлім. Нитрат құрамын анықтаудың спектрофотометриялық әдісі және ет өнімдеріндегі нитрит нитратты нитритке дейін ферментативті тотықсыздандыруды қолдана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 12014-4-2015 МЕМСТ "Азық-түлік өнімдері. Нитрат және/немесе нитрит құрамын анықтау. 4 бөлім. Иондық хроматография әдісімен ет өнімдеріндегі нитрат пен нитриттің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 13196-2015 МЕМСТ "Көкөніс және жеміс шырындары. Дистилляция әдісімен жалпы күкірт диоксидінің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31765-2012 МЕМСТ "Шараптар мен шарап материалдары. Синтетикалық бояғыштарды капиллярлық электрофорез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32037-2013 МЕМСТ "Әлсіз алкогольді және алкогольсіз сусындар, квас. Көмірқышқыл газын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32113-2013 МЕМСТ "Алкоголь өнімі және оны өндіруге арналған шикізат. Лимон қышқылының массалық концентрациясын анықтаудың ферментативті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32771-2014 МЕМСТ "Өнімдер шырынды. Кері фазалық жоғары тиімді сұйық хроматография әдісімен органикалық қышқылдарды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33627-2015 МЕМСТ "Көмір белсендірілген. Адсорбенттердің сорбциялық сипаттамаларын анықтаудың стандартты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34201-2017 МЕМСТ "Қант. Күкірт диоксидін йодометриялық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34228-2017 МЕМСТ "Өнімдер шырынды. Консерванттарды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34229-2017 МЕМСТ "Өнімдер шырынды. Жоғары тиімді сұйық хроматография әдісімен синтетикалық бояғыштарды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34409-2018 МЕМСТ "Өнімдер шырынды. L-алма қышқылын ферментативті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34420-2018 МЕМСТ "Ірімшіктер мен ерітілген ірімшіктер. Лимон қышқылы мен цитраттардың массалық үлесін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34882-2022 МЕМСТ "Тағамдық қоспалар. Консерванттардың сандық анықтамасы (бензой сорбин қышқылдары мен олардың тұздары) хроматографиялық әдіспен кешенді тағамдық қоспаларда"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34990-2023 МЕМСТ 6.7-тармағы  "Тағамдық қоспалар. Е316 Натрий изоаскорбат.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2547-2019 СТБ "Азық-түлік өнімдері. Жоғары тиімді сұйық хроматографияны қолдана отырып бояғыштарды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ИСО 13496-2013 МЕМСТ "Ет және ет өнімдері. Бояғыштарды анықтау. Жұқа қабатты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ЕN 14105-2008 МЕМСТ "Майлар мен майлардың туындылары. Май қышқылдарының метил эфирлері (FAME). Бос және жалпы глицерин, моно-, ди-, триглицеридтердің құрамын анықтау (салыстыру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54744-2011 МЕМСТ "Өнімдер шырынды. Мүкжидек пен алма өнімдеріндегі хинна, алма және лимон қышқылдарын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54948-2012 МЕМСТ "Бал. Глицеринді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57990-2017 МЕМСТ "Мамандандырылған тағамдық өнімдер, биологиялық белсенді қоспалар тамаққа. Кверцетинді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6323-2020 "Тамақ өнімдеріндегі консерванттардың жаппай үлесі. Диодты-матрицалық анықтаумен жоғары тиімді сұйық хроматография әдісімен өлшеулерді орындау әдістемесі" (08.12.2020 бастап № 1272/2020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 К961 ""ХЕМА" ЖШҚ өндірген "МТГ-ИФА" реагенттер жиынтығын пайдалана отырып, иммуноферменттік талдау әдісімен азық-түлік сынамаларындағы микробтық трансглютаминазаның массалық үлесін өлшеу әдістемесі  (11.02.2019 бастап № 241.0002/RA.RU.311866/2019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стандарттар тізбесіне енгізілгенге дейін қолданылады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