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8992" w14:textId="72f8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құйма алюминий дөңгелекті дискілерге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2024 жылғы 19 наурыздағы № 23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(Еуразиялық экономикалық одақ туралы 2014 жылғы 29 мамырдағы шартқа тіркелген № 8 қосымша)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комиссиясы алқасының 2019 жылғы 26 наурыздағы № 43 "Қытай Халық Республикасынан шығарылатын және Еуразиялық экономикалық одақтың кедендік аумағына әкелінетін құйма алюминий дөңгелекті дискілерге қатысты демпингке қарсы бажды енгізу арқылы демпингке қарсы шара қолдану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қолданылуын қоса алғанда, 2024 жылғы 26 желтоқсанға дейін ұзартылсын.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 мемлекеттік органдары осы шешім күшіне енген күннен бастап 2024 жылғы 26 желтоқсанды қоса алғанда, мөлшерлемелер бойынша демпингке қарсы баж өндіріп алу үшін белгіленген тәртіппен Еуразиялық экономикалық комиссиясы алқасының 2019 жылғы 26 наурыздағы № 43 </w:t>
      </w:r>
      <w:r>
        <w:rPr>
          <w:rFonts w:ascii="Times New Roman"/>
          <w:b w:val="false"/>
          <w:i w:val="false"/>
          <w:color w:val="000000"/>
          <w:sz w:val="28"/>
        </w:rPr>
        <w:t>шешімімен</w:t>
      </w:r>
      <w:r>
        <w:rPr>
          <w:rFonts w:ascii="Times New Roman"/>
          <w:b w:val="false"/>
          <w:i w:val="false"/>
          <w:color w:val="000000"/>
          <w:sz w:val="28"/>
        </w:rPr>
        <w:t xml:space="preserve"> алдын ала демпингке қарсы баждарды алуды қамтамасыз етсін. </w:t>
      </w:r>
    </w:p>
    <w:bookmarkStart w:name="z4" w:id="0"/>
    <w:p>
      <w:pPr>
        <w:spacing w:after="0"/>
        <w:ind w:left="0"/>
        <w:jc w:val="both"/>
      </w:pPr>
      <w:r>
        <w:rPr>
          <w:rFonts w:ascii="Times New Roman"/>
          <w:b w:val="false"/>
          <w:i w:val="false"/>
          <w:color w:val="000000"/>
          <w:sz w:val="28"/>
        </w:rPr>
        <w:t>
      3. Осы шешім ресми жарияланған күннен бастап  күнтізбелік 30 күн өткен соң, бірақ 2024 жылғы 28 сәуірден ерте емес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