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ee93" w14:textId="dc2e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қынап тексеретін аспаптарды жіктеу туралы</w:t>
      </w:r>
    </w:p>
    <w:p>
      <w:pPr>
        <w:spacing w:after="0"/>
        <w:ind w:left="0"/>
        <w:jc w:val="both"/>
      </w:pPr>
      <w:r>
        <w:rPr>
          <w:rFonts w:ascii="Times New Roman"/>
          <w:b w:val="false"/>
          <w:i w:val="false"/>
          <w:color w:val="000000"/>
          <w:sz w:val="28"/>
        </w:rPr>
        <w:t>Еуразиялық экономикалық комиссия Алқасының 2024 жылғы 16 шілдедегі № 84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Қынап тексеретін аспап, бұл – Сыртқы экономикалық қызметтің тауар номенклатурасын түсіндірудің 1-негізгі қағидаларына сәйкес Еуразиялық экономикалық одақтың сыртқы экономикалық қызметінің бірыңғай тауар номенклатурасының 9018 тауар позициясында жіктелетін, әйелдердің ұрпақты болу жүйесі органдарын тексеру және гинекологиялық тексерулер жүргізуге арналған, бір корпусына сандық бейнекамера, стереоскоптық бинокуляр, жарық көзі орналастырылған, еденге қойылатын штативі, тірегі бар, сандық оптикалық аспап.</w:t>
      </w:r>
    </w:p>
    <w:bookmarkEnd w:id="1"/>
    <w:bookmarkStart w:name="z3" w:id="2"/>
    <w:p>
      <w:pPr>
        <w:spacing w:after="0"/>
        <w:ind w:left="0"/>
        <w:jc w:val="both"/>
      </w:pPr>
      <w:r>
        <w:rPr>
          <w:rFonts w:ascii="Times New Roman"/>
          <w:b w:val="false"/>
          <w:i w:val="false"/>
          <w:color w:val="000000"/>
          <w:sz w:val="28"/>
        </w:rPr>
        <w:t>
      2. Қынап тексеретін аспап, бұл – Сыртқы экономикалық қызметтің тауар номенклатурасын түсіндірудің 1-негізгі қағидаларына сәйкес Еуразиялық экономикалық одақтың сыртқы экономикалық қызметінің бірыңғай тауар номенклатурасының 9018 тауар позициясында жіктелетін, әйелдердің ұрпақты болу жүйесі органдарын тексеру және гинекологиялық тексерулер жүргізуге арналған, бір корпусына сандық бейнекамера, жарық көзі, дисплей орналастырылған, еденге қойылатын штативі, тірегі бар сандық оптикалық аспап.</w:t>
      </w:r>
    </w:p>
    <w:bookmarkEnd w:id="2"/>
    <w:bookmarkStart w:name="z4" w:id="3"/>
    <w:p>
      <w:pPr>
        <w:spacing w:after="0"/>
        <w:ind w:left="0"/>
        <w:jc w:val="both"/>
      </w:pPr>
      <w:r>
        <w:rPr>
          <w:rFonts w:ascii="Times New Roman"/>
          <w:b w:val="false"/>
          <w:i w:val="false"/>
          <w:color w:val="000000"/>
          <w:sz w:val="28"/>
        </w:rPr>
        <w:t>
      3. Осы шешім ресми жарияланған күннен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