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2eac1" w14:textId="aa2ea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 шеңберіндегі жалпы процестер тізбесіне өзгеріс енгізу және Еуразиялық экономикалық комиссия алқасының кейбір шешімдерінің күші жойылған деп тану туралы</w:t>
      </w:r>
    </w:p>
    <w:p>
      <w:pPr>
        <w:spacing w:after="0"/>
        <w:ind w:left="0"/>
        <w:jc w:val="both"/>
      </w:pPr>
      <w:r>
        <w:rPr>
          <w:rFonts w:ascii="Times New Roman"/>
          <w:b w:val="false"/>
          <w:i w:val="false"/>
          <w:color w:val="000000"/>
          <w:sz w:val="28"/>
        </w:rPr>
        <w:t>Еуразиялық экономикалық комиссия Алқасының 2024 жылғы 23 шілдедегі № 85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9-тармағына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Еуразиялық экономикалық комиссия Алқасының 2015 жылғы 14 сәуірдегі № 29 шешімімен бекітілген Еуразиялық экономикалық одақ шеңберіндегі жалпы процестер </w:t>
      </w:r>
      <w:r>
        <w:rPr>
          <w:rFonts w:ascii="Times New Roman"/>
          <w:b w:val="false"/>
          <w:i w:val="false"/>
          <w:color w:val="000000"/>
          <w:sz w:val="28"/>
        </w:rPr>
        <w:t>тізбесінің</w:t>
      </w:r>
      <w:r>
        <w:rPr>
          <w:rFonts w:ascii="Times New Roman"/>
          <w:b w:val="false"/>
          <w:i w:val="false"/>
          <w:color w:val="000000"/>
          <w:sz w:val="28"/>
        </w:rPr>
        <w:t xml:space="preserve"> 62-позициясы алынып тасталсын.</w:t>
      </w:r>
    </w:p>
    <w:bookmarkEnd w:id="1"/>
    <w:bookmarkStart w:name="z3"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xml:space="preserve">
      "Трансшекаралық нарықтарда бәсекелестіктің жалпы қағидаларының және бәсекелестік (монополияға қарсы) заңнамасының сақталуын бақылауды, сондай-ақ бағаны мемлекеттік реттеуді енгізуді және Еуразиялық экономикалық одаққа мүше мемлекеттердің оны енгізу туралы шешімдеріне дау айтуды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жалпы процесін іске асыру қағидаларын бекіту туралы Еуразиялық экономикалық комиссия Алқасының 2019 жылғы 11 қарашадағы № 190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"Трансшекаралық нарықтарда бәсекелестіктің жалпы қағидаларының және бәсекелестік (монополияға қарсы) заңнамасының сақталуын бақылауды, сондай-ақ бағаны мемлекеттік реттеуді енгізуді және Еуразиялық экономикалық одаққа мүше мемлекеттердің оны енгізу туралы шешімдеріне дау айтуды жүзеге асыру кезінде Еуразиялық экономикалық комиссия мен Еуразиялық экономикалық одаққа мүше мемлекеттердің уәкілетті органдары арасында құжаттармен және (немесе) мәліметтермен алмасуды қамтамасыз ету (мемлекеттік бағалық реттеуді енгізу және ол туралы шешімдерді даулау кезінде құжаттар және (немесе) мәліметтермен алмасу бөлігінде)" жалпы процесін Еуразиялық экономикалық одақтың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Еуразиялық экономикалық комиссия алқасының 2021 жылғы 15 маусымдағы № 65 шешімі.</w:t>
      </w:r>
    </w:p>
    <w:bookmarkStart w:name="z4" w:id="3"/>
    <w:p>
      <w:pPr>
        <w:spacing w:after="0"/>
        <w:ind w:left="0"/>
        <w:jc w:val="both"/>
      </w:pPr>
      <w:r>
        <w:rPr>
          <w:rFonts w:ascii="Times New Roman"/>
          <w:b w:val="false"/>
          <w:i w:val="false"/>
          <w:color w:val="000000"/>
          <w:sz w:val="28"/>
        </w:rPr>
        <w:t>
      3. Осы Шешім ресми жарияланған күннен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w:t>
            </w:r>
          </w:p>
          <w:p>
            <w:pPr>
              <w:spacing w:after="20"/>
              <w:ind w:left="20"/>
              <w:jc w:val="both"/>
            </w:pPr>
          </w:p>
          <w:p>
            <w:pPr>
              <w:spacing w:after="20"/>
              <w:ind w:left="20"/>
              <w:jc w:val="both"/>
            </w:pPr>
            <w:r>
              <w:rPr>
                <w:rFonts w:ascii="Times New Roman"/>
                <w:b w:val="false"/>
                <w:i/>
                <w:color w:val="000000"/>
                <w:sz w:val="20"/>
              </w:rPr>
              <w:t>комиссия алқасы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