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f540" w14:textId="050f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"Ойыншықтардың қауіпсіздігі туралы" техникалық регламентінің (КО ТР 008/2011) сақталуы қамтамасыз етілетін мемлекетаралық стандарттарды және зерттеулердің (сынақтардың) және өлшемдердің ережелері мен әдістерін, соның ішінде Кеден одағының "Ойыншықтардың қауіпсіздігі туралы" техникалық регламентінің (КО ТР 008/2011) талаптарын қолдану және орындау үшін қажетті үлгілерді іріктеп алу және техникалық реттеу объектілерінің осы техникалық регламенттің талаптарына сәйкестігін бағалауды жүзеге асыру қағидаларын қамтитын мемлекетаралық стандарттарды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10 қыркүйектегі № 106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51-бабының</w:t>
      </w:r>
      <w:r>
        <w:rPr>
          <w:rFonts w:ascii="Times New Roman"/>
          <w:b w:val="false"/>
          <w:i w:val="false"/>
          <w:color w:val="000000"/>
          <w:sz w:val="28"/>
        </w:rPr>
        <w:t xml:space="preserve"> 1-тармағының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2022 жылғы 18 қазандағы № 145 шешімімен бекітілген Ерікті негізде қолдану нәтижесінде Кеден одағының "Ойыншықтардың қауіпсіздігі туралы" техникалық регламентінің (КО ТР 008/2011) сақталуы қамтамасыз етілетін мемлекетаралық стандарттарды және зерттеулердің (сынақтардың) және өлшемдердің ережелері мен әдістерін, соның ішінде Кеден одағының "Ойыншықтардың қауіпсіздігі туралы" техникалық регламентінің (КО ТР 008/2011) талаптарын қолдану және орындау үшін қажетті үлгілерді іріктеп алу және техникалық реттеу объектілерінің осы техникалық регламенттің талаптарына сәйкестігін бағалауды жүзеге асыру қағидаларын қамтитын мемлекетаралық стандарттарды әзірлеу (өзгерістер енгізу, қайта қарау) жөніндегі бағдарламаға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10 қыркүйектегі </w:t>
            </w:r>
            <w:r>
              <w:br/>
            </w:r>
            <w:r>
              <w:rPr>
                <w:rFonts w:ascii="Times New Roman"/>
                <w:b w:val="false"/>
                <w:i w:val="false"/>
                <w:color w:val="000000"/>
                <w:sz w:val="20"/>
              </w:rPr>
              <w:t>№ 106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Ерікті негізде қолдану нәтижесінде Кеден одағының "Ойыншықтардың қауіпсіздігі туралы" техникалық регламентінің (КО ТР 008/2011) сақталуы қамтамасыз етілетін мемлекетаралық стандарттарды және зерттеулердің (сынақтардың) және өлшемдердің ережелері мен әдістерін, соның ішінде Кеден одағының "Ойыншықтардың қауіпсіздігі туралы" техникалық регламентінің (КО ТР 008/2011) талаптарын қолдану және орындау үшін қажетті үлгілерді іріктеп алу және техникалық реттеу объектілерінің осы техникалық регламенттің талаптарына сәйкестігін бағалауды жүзеге асыру қағидаларын қамтитын мемлекетаралық стандарттарды әзірлеу (өзгерістер енгізу, қайта қарау) жөніндегі бағдарламаға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1. 7-позиция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Ойыншықтар. Сыныптау. Терминдер мен анықтамалар.</w:t>
            </w:r>
          </w:p>
          <w:p>
            <w:pPr>
              <w:spacing w:after="20"/>
              <w:ind w:left="20"/>
              <w:jc w:val="both"/>
            </w:pPr>
            <w:r>
              <w:rPr>
                <w:rFonts w:ascii="Times New Roman"/>
                <w:b w:val="false"/>
                <w:i w:val="false"/>
                <w:color w:val="000000"/>
                <w:sz w:val="20"/>
              </w:rPr>
              <w:t>
</w:t>
            </w:r>
            <w:r>
              <w:rPr>
                <w:rFonts w:ascii="Times New Roman"/>
                <w:b/>
                <w:i w:val="false"/>
                <w:color w:val="000000"/>
                <w:sz w:val="20"/>
              </w:rPr>
              <w:t>МемСТ әзірленімі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12-позицияда:</w:t>
      </w:r>
    </w:p>
    <w:bookmarkEnd w:id="2"/>
    <w:bookmarkStart w:name="z8" w:id="3"/>
    <w:p>
      <w:pPr>
        <w:spacing w:after="0"/>
        <w:ind w:left="0"/>
        <w:jc w:val="both"/>
      </w:pPr>
      <w:r>
        <w:rPr>
          <w:rFonts w:ascii="Times New Roman"/>
          <w:b w:val="false"/>
          <w:i w:val="false"/>
          <w:color w:val="000000"/>
          <w:sz w:val="28"/>
        </w:rPr>
        <w:t xml:space="preserve">
      а) 5-бағандағы "2025 жыл" деген сөздер "2023 жыл" деген сөздермен ауыстырылсын; </w:t>
      </w:r>
    </w:p>
    <w:bookmarkEnd w:id="3"/>
    <w:bookmarkStart w:name="z9" w:id="4"/>
    <w:p>
      <w:pPr>
        <w:spacing w:after="0"/>
        <w:ind w:left="0"/>
        <w:jc w:val="both"/>
      </w:pPr>
      <w:r>
        <w:rPr>
          <w:rFonts w:ascii="Times New Roman"/>
          <w:b w:val="false"/>
          <w:i w:val="false"/>
          <w:color w:val="000000"/>
          <w:sz w:val="28"/>
        </w:rPr>
        <w:t xml:space="preserve">
      б) 6-бағандағы "2027 жыл" деген сөздер "2024 жыл" деген сөздермен ауыстырылсын; </w:t>
      </w:r>
    </w:p>
    <w:bookmarkEnd w:id="4"/>
    <w:bookmarkStart w:name="z10" w:id="5"/>
    <w:p>
      <w:pPr>
        <w:spacing w:after="0"/>
        <w:ind w:left="0"/>
        <w:jc w:val="both"/>
      </w:pPr>
      <w:r>
        <w:rPr>
          <w:rFonts w:ascii="Times New Roman"/>
          <w:b w:val="false"/>
          <w:i w:val="false"/>
          <w:color w:val="000000"/>
          <w:sz w:val="28"/>
        </w:rPr>
        <w:t>
      в) 7-бағандағы "Беларусь Республикасы" деген сөздер "Ресей Федерациясы" деген сөздермен ауыстырылсын.</w:t>
      </w:r>
    </w:p>
    <w:bookmarkEnd w:id="5"/>
    <w:bookmarkStart w:name="z11" w:id="6"/>
    <w:p>
      <w:pPr>
        <w:spacing w:after="0"/>
        <w:ind w:left="0"/>
        <w:jc w:val="both"/>
      </w:pPr>
      <w:r>
        <w:rPr>
          <w:rFonts w:ascii="Times New Roman"/>
          <w:b w:val="false"/>
          <w:i w:val="false"/>
          <w:color w:val="000000"/>
          <w:sz w:val="28"/>
        </w:rPr>
        <w:t>
      3. 14-позицияда:</w:t>
      </w:r>
    </w:p>
    <w:bookmarkEnd w:id="6"/>
    <w:bookmarkStart w:name="z12" w:id="7"/>
    <w:p>
      <w:pPr>
        <w:spacing w:after="0"/>
        <w:ind w:left="0"/>
        <w:jc w:val="both"/>
      </w:pPr>
      <w:r>
        <w:rPr>
          <w:rFonts w:ascii="Times New Roman"/>
          <w:b w:val="false"/>
          <w:i w:val="false"/>
          <w:color w:val="000000"/>
          <w:sz w:val="28"/>
        </w:rPr>
        <w:t xml:space="preserve">
      а) 5-бағандағы "2023 жыл" деген сөздер "2024 жыл" деген сөздермен ауыстырылсын; </w:t>
      </w:r>
    </w:p>
    <w:bookmarkEnd w:id="7"/>
    <w:bookmarkStart w:name="z13" w:id="8"/>
    <w:p>
      <w:pPr>
        <w:spacing w:after="0"/>
        <w:ind w:left="0"/>
        <w:jc w:val="both"/>
      </w:pPr>
      <w:r>
        <w:rPr>
          <w:rFonts w:ascii="Times New Roman"/>
          <w:b w:val="false"/>
          <w:i w:val="false"/>
          <w:color w:val="000000"/>
          <w:sz w:val="28"/>
        </w:rPr>
        <w:t>
      б) 6-бағандағы "2024 жыл" деген сөздер "2025 жыл" деген сөздермен ауыстырылсын.</w:t>
      </w:r>
    </w:p>
    <w:bookmarkEnd w:id="8"/>
    <w:bookmarkStart w:name="z14" w:id="9"/>
    <w:p>
      <w:pPr>
        <w:spacing w:after="0"/>
        <w:ind w:left="0"/>
        <w:jc w:val="both"/>
      </w:pPr>
      <w:r>
        <w:rPr>
          <w:rFonts w:ascii="Times New Roman"/>
          <w:b w:val="false"/>
          <w:i w:val="false"/>
          <w:color w:val="000000"/>
          <w:sz w:val="28"/>
        </w:rPr>
        <w:t>
      4. Мынадай мазмұндағы 19 – 22-позициялармен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Ойыншықтардың қауіпсіздігі. 3 бөлік. Химиялық элементтердің көшуі.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ISO 8124-3:2020 негізінде  МЕМСТ ISO 8124-3-2014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4-баптың 3.4 және 3.5-тармақтары,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13 бөлік. Иіс сезімін дамытуға арналған үстел ойындары, парфюмерлік-косметикалық өнімдер мен дәмдік ойындар жасауға арналған жиынтықтар. EN 71-13:2021+A1:2022 негізінде МЕМСТ EN 71-13-2018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3.4 және 3.5-тармақтары,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 6 бөлім. Tenaxta сорбентіне белсенді сынама алу, содан кейін термиялық десорбция және МСД/ПИД пайдалана отырып газохроматографиялық талдау арқылы жабық үй-жайлар мен сынақ камерасының ауасындағы ұшпа органикалық қосылыстарды анықтау. ISO 16000-6:2021 негізінде МЕМСТ ISO 16000-6-2016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материалдар. Тоқыма материалдарынан және винилацетат негізіндегі полимерлерден жасалған бұйымдардан бөлінетін винилацетаттың су және ауа ортасына көшуі деңгейін анықтау әдістері. АМИ.МН 0111-2023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3.4-тармағы,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