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9a5c" w14:textId="c7c9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әскери және өзге де атақтар, сыныптық шендер, біліктілік сыныптары жөніндегі комиссия туралы" Қазақстан Республикасы Президентінің 1999 жылғы 3 қарашадағы № 88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17 қарашадағы № 355 өкімі.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әскери және өзге де атақтар, сыныптық шендер, біліктілік сыныптары жөніндегі комиссия туралы" Қазақстан Республикасы Президентінің 1999 жылғы 3 қарашадағы № 88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өкімнің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мәтіні бойынша ", біліктілік сыныптары", ", біліктілік сыныптарын" деген сөздер алып тасталсын;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Жоғары әскери және өзге де атақтар, сыныптық шендер, біліктілік сыныптары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 және бүкіл мәтіні бойынша ", біліктілік сыныптары", ", біліктілік сыныптарын", ", біліктілік сыныптарынан" деген сөздер алып тасталсын.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