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7667" w14:textId="8807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ұлттық лотерея ұйымдастыру және өкiтзу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1996 жылғы 18 қарашадағы N 3223 Өкімі. Күші жойылды - Қазақстан Республикасы Президентінің 2005.05.16 N 1573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лотереясын ұйымдастыру және өткiзу жөнiнде кеңес құрылсын (құрамы қоса берiлiп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Үкiметi: 
</w:t>
      </w:r>
      <w:r>
        <w:br/>
      </w:r>
      <w:r>
        <w:rPr>
          <w:rFonts w:ascii="Times New Roman"/>
          <w:b w:val="false"/>
          <w:i w:val="false"/>
          <w:color w:val="000000"/>
          <w:sz w:val="28"/>
        </w:rPr>
        <w:t>
      1) Осы өкiмге қол қойылған күннен бастап он күн мерзiмде Қазақстан Республикасының ұлттық лотереясын ұйымдастыру және өткiзу жөнiндегi кеңес туралы Ереженi бекiтетiн болсын; 
</w:t>
      </w:r>
      <w:r>
        <w:br/>
      </w:r>
      <w:r>
        <w:rPr>
          <w:rFonts w:ascii="Times New Roman"/>
          <w:b w:val="false"/>
          <w:i w:val="false"/>
          <w:color w:val="000000"/>
          <w:sz w:val="28"/>
        </w:rPr>
        <w:t>
      2) ұлттық лотерея туралы Ереженi әзiрлеп, бекiтсiн; 
</w:t>
      </w:r>
      <w:r>
        <w:br/>
      </w:r>
      <w:r>
        <w:rPr>
          <w:rFonts w:ascii="Times New Roman"/>
          <w:b w:val="false"/>
          <w:i w:val="false"/>
          <w:color w:val="000000"/>
          <w:sz w:val="28"/>
        </w:rPr>
        <w:t>
      3) мынадай тәртiп белгiлесiн, соған сәйкес лотереяларды (мемлекеттiк лотереялардан өзгелерiн) ұйымдастыру және өткiзу жөнiндегi қызметтiң лицензиары Қазақстан Республикасының Үкiметi болады, ал шет мемлекеттер лотереяларын Қазақстан Республикасының аумағында тарату Ұлттық лотереяны ұйымдастыру және өткiзу жөнiндегi кеңеспен оларды тарату шарттары келiсiлгеннен кейiн ғана жүзеге асырылады; 
</w:t>
      </w:r>
      <w:r>
        <w:br/>
      </w:r>
      <w:r>
        <w:rPr>
          <w:rFonts w:ascii="Times New Roman"/>
          <w:b w:val="false"/>
          <w:i w:val="false"/>
          <w:color w:val="000000"/>
          <w:sz w:val="28"/>
        </w:rPr>
        <w:t>
      4) осы өкiмге қол қойылған күннен бастап үш ай мерзiмде Қазақстан Респбуликасының аумағында лотереялар өткiзу шарттарын қайта қарасын және Қазақстан Республикасының аумағында лотереяларды (мемлекеттiк лотереялардан өзгерлерiн) өткiзу құқығына лицензиялар беру тәртiбi туралы Ереженi бекiтсiн; 
</w:t>
      </w:r>
      <w:r>
        <w:br/>
      </w:r>
      <w:r>
        <w:rPr>
          <w:rFonts w:ascii="Times New Roman"/>
          <w:b w:val="false"/>
          <w:i w:val="false"/>
          <w:color w:val="000000"/>
          <w:sz w:val="28"/>
        </w:rPr>
        <w:t>
      5) ұлттық лотереяның лотерея билеттерiн сатудан алынған қаражат, ұтыстарды төлеуге, лотереяны өткiзуге байланысты шығыстарды өтеуге арналған қаражатты қоспағанда, Қазақстан Республикасы Үкiметiнiң келiсiмiмен Ақмола қаласын абаттандыру мен дамытуға және Пенсия қорына жiберiледi деп белгiленсiн; 
</w:t>
      </w:r>
      <w:r>
        <w:br/>
      </w:r>
      <w:r>
        <w:rPr>
          <w:rFonts w:ascii="Times New Roman"/>
          <w:b w:val="false"/>
          <w:i w:val="false"/>
          <w:color w:val="000000"/>
          <w:sz w:val="28"/>
        </w:rPr>
        <w:t>
      6) тиiстi лицензияларсыз лотереялар өткiзуден түскен табыстардың бюджеттен тыс "Жаңа астана" қорына алынуын, сондай-ақ ұлттық лотереяны ұйымдастыру және өткiзу жөнiнде шешiм қабылдануына байланысты салық, кеден және өзге де заңдарға өзгерiстер мен толықтырулар енгiзiлуiн көздейтiн заң жобасын Парламенттiң қарауына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Орталық және жергiлiктi атқарушы органдардың басшылары ұлттық лотереяны ұйымдастыруға және өткiзуге жан-жақты жәрдем жасайтын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1996 жылғы 18 қарашадағы  
</w:t>
      </w:r>
      <w:r>
        <w:br/>
      </w:r>
      <w:r>
        <w:rPr>
          <w:rFonts w:ascii="Times New Roman"/>
          <w:b w:val="false"/>
          <w:i w:val="false"/>
          <w:color w:val="000000"/>
          <w:sz w:val="28"/>
        </w:rPr>
        <w:t>
N 3223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лотереясын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мен өткiзу жөнiндегi кеңестiң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 В.В. - Кеңес төрағасы
</w:t>
      </w:r>
      <w:r>
        <w:br/>
      </w:r>
      <w:r>
        <w:rPr>
          <w:rFonts w:ascii="Times New Roman"/>
          <w:b w:val="false"/>
          <w:i w:val="false"/>
          <w:color w:val="000000"/>
          <w:sz w:val="28"/>
        </w:rPr>
        <w:t>
     Ертiлесова Ж.Д. - Кеңес төрағасының орынбасары
</w:t>
      </w:r>
      <w:r>
        <w:br/>
      </w:r>
      <w:r>
        <w:rPr>
          <w:rFonts w:ascii="Times New Roman"/>
          <w:b w:val="false"/>
          <w:i w:val="false"/>
          <w:color w:val="000000"/>
          <w:sz w:val="28"/>
        </w:rPr>
        <w:t>
     Тимкин М.И. - Кеңес төрағасының орынбасары
</w:t>
      </w:r>
    </w:p>
    <w:p>
      <w:pPr>
        <w:spacing w:after="0"/>
        <w:ind w:left="0"/>
        <w:jc w:val="both"/>
      </w:pPr>
      <w:r>
        <w:rPr>
          <w:rFonts w:ascii="Times New Roman"/>
          <w:b w:val="false"/>
          <w:i w:val="false"/>
          <w:color w:val="000000"/>
          <w:sz w:val="28"/>
        </w:rPr>
        <w:t>
     Кеңес мүшелерi:
</w:t>
      </w:r>
    </w:p>
    <w:p>
      <w:pPr>
        <w:spacing w:after="0"/>
        <w:ind w:left="0"/>
        <w:jc w:val="both"/>
      </w:pPr>
      <w:r>
        <w:rPr>
          <w:rFonts w:ascii="Times New Roman"/>
          <w:b w:val="false"/>
          <w:i w:val="false"/>
          <w:color w:val="000000"/>
          <w:sz w:val="28"/>
        </w:rPr>
        <w:t>
     Әбiлғазин Д.Р.
</w:t>
      </w:r>
      <w:r>
        <w:br/>
      </w:r>
      <w:r>
        <w:rPr>
          <w:rFonts w:ascii="Times New Roman"/>
          <w:b w:val="false"/>
          <w:i w:val="false"/>
          <w:color w:val="000000"/>
          <w:sz w:val="28"/>
        </w:rPr>
        <w:t>
     Әйiмбетов С.С.
</w:t>
      </w:r>
      <w:r>
        <w:br/>
      </w:r>
      <w:r>
        <w:rPr>
          <w:rFonts w:ascii="Times New Roman"/>
          <w:b w:val="false"/>
          <w:i w:val="false"/>
          <w:color w:val="000000"/>
          <w:sz w:val="28"/>
        </w:rPr>
        <w:t>
     Дәмитов Қ.Қ.
</w:t>
      </w:r>
      <w:r>
        <w:br/>
      </w:r>
      <w:r>
        <w:rPr>
          <w:rFonts w:ascii="Times New Roman"/>
          <w:b w:val="false"/>
          <w:i w:val="false"/>
          <w:color w:val="000000"/>
          <w:sz w:val="28"/>
        </w:rPr>
        <w:t>
     Нұрғалиева Е.Н.
</w:t>
      </w:r>
      <w:r>
        <w:br/>
      </w:r>
      <w:r>
        <w:rPr>
          <w:rFonts w:ascii="Times New Roman"/>
          <w:b w:val="false"/>
          <w:i w:val="false"/>
          <w:color w:val="000000"/>
          <w:sz w:val="28"/>
        </w:rPr>
        <w:t>
     Сағдиев М.Р.
</w:t>
      </w:r>
      <w:r>
        <w:br/>
      </w:r>
      <w:r>
        <w:rPr>
          <w:rFonts w:ascii="Times New Roman"/>
          <w:b w:val="false"/>
          <w:i w:val="false"/>
          <w:color w:val="000000"/>
          <w:sz w:val="28"/>
        </w:rPr>
        <w:t>
     Шадиев К.К.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