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573f" w14:textId="ece5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8 маусымдағы N 780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қазан N 1335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және мемлекет кепілдік берген қарыз алу мен борыш туралы" Қазақстан Республикасының 1999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Заңына және Қазақстан Республикасы Үкіметінің 2000 жылғы 17 шілдедегі N 1082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>қаулысымен бекітілген "Жергілікті атқарушы органдардың қарыз алуы есебінен қаржыландырылатын аймақтық инвестициялық бағдарламаларды Қазақстан Республикасының Үкіметімен келісу рәсімі жөніндегі ережеге" сәйкес, "Вячеслав су қоймасынан Астана қаласына дейін суағызғының үшінші желісін салу"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P001324_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жобасы бойынша аймақтық инвестициялық бағдарламаны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аймақтық инвестициялық бағдарламасы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жергілікті атқарушы органының қарыз алуы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2001 жылғы 8 маусымдағы N 780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P010780_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2-тармақтағы "916 200 000 (тоғыз жүз он алты миллион екі жүз мың)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теңге" деген сөздер "1 916 200 000 (бір миллиард тоғыз жүз он алты миллион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 жүз мың) теңге"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