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e6e6" w14:textId="7c0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минералдық ресурстар министрлiгi республикалық мемлекеттiк кәсіпорындарының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19 шілде N 807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министрлiгiнің шаруашылық жүргiзу құқығындағы "Қазақстан Республикасының Ұлттық ядролық орталығы" республикалық мемлекеттiк кәсiпорны оған Қазақстан Республикасы Энергетика және минералдық ресурстар министрлiгiнiң "Қазақ жарылыс жұмыстары мемлекеттiк ғылыми-өндiрiстiк орталығы" республикалық мемлекеттiк қазыналық кәсiпорнын қосу жолымен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министрлiгiнiң шаруашылық жүргiзу құқығындағы "Қазақстан Республикасының Ұлттық ядролық орталығы" республикалық мемлекеттiк кәсiпорнына шаруашылық жүргiзу құқығындағы "Қазақ жарылыс жұмыстары мемлекеттiк ғылыми-өндiрiстiк орталығы" еншiлес мемлекеттiк кәсiпорнын құруға рұқсат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Энергетика және минералдық ресурстар министрлiгi осы қаулыдан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