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a3a7" w14:textId="5d4a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13 желтоқсан N 1310</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Адам құқықтары жөнiндегi ұлттық орталыққа оған жүктелген функциялар мен мiндеттердi орындау үшiн 2002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4040000 (төрт миллион қырық мың)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