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6fa4" w14:textId="10d6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ерекше қорғалатын табиғи аумақтарды пайдаланғаны үшiн төлем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24 ақпан N 196.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2008 жылғы 31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мiндеттi төлемдер туралы" Қазақстан Республикасының 2001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>(Салық кодексi) және "Ерекше қорғалатын табиғи аумақтар туралы" Қазақстан Республикасының 1997 жылғы 15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Республикалық маңызы бар ерекше қорғалатын табиғи аумақтарды пайдаланғаны үшiн төлем ставкалары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түрде жарияланған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ерекше қорғалатын табиғи аумақтарды пайдаланғаны үшін төлем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 Республикалық маңызы бар           Өлшем       Айлық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ерекше қорғалатын табиғи          бірлігі        айырысу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аумақтарды жеке және заңды                    көрсеткіштерін.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тұлғалардың пайдалану түрлері                   дегі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ставкалары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Ғылыми мақсаттарда (ғылыми        адам-күн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зерттеулердi жүргiзу), 5-тармақта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көрсетiлген тұлғаларды қоспағанда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Мәдени-ағарту және оқу мақсатта.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рында, 5-тармақта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тұлғаларды қоспағанда: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жансыз табиғаттың, өсiмдiктер. адам-күн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дің және жануарлардың объектілерiн,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тарихи-мәдени мұра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оқушылар мен студенттердiң     адам-күн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экскурсиялары мен сабақтарын,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өндірістік практикасын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қорық iсi, қоршаған ортаны     адам-күн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және табиғатты ұтымды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саласындағы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кадрларды даярлау,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даярлау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Туристiк және рекреациялық        адам-күн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мақсаттарда, 5-тармақта көрсетiл.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 тұлғаларды қоспағанда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Шектеулi шаруашылық мақсаттарда,  адам-күн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5-тармақта көрсетiлген тұлғаларды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қоспағанда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Ерекше қорғалатын табиғи аумақ.   адам-күн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осы Төлем ставкаларының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 3, 4-тармақтарында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мақсаттарда, "Ерекше қорғалатын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аумақтар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белгiленген, мемлекеттiк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нысанындағы заңды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