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a661" w14:textId="d59a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30 наурыздағы N 307 қаулысы</w:t>
      </w:r>
    </w:p>
    <w:p>
      <w:pPr>
        <w:spacing w:after="0"/>
        <w:ind w:left="0"/>
        <w:jc w:val="both"/>
      </w:pPr>
      <w:r>
        <w:rPr>
          <w:rFonts w:ascii="Times New Roman"/>
          <w:b w:val="false"/>
          <w:i w:val="false"/>
          <w:color w:val="000000"/>
          <w:sz w:val="28"/>
        </w:rPr>
        <w:t xml:space="preserve">      "Қазақстан инжиниринг" (Kazakhstan Engineering) ұлттық компаниясы" ашық акционерлік қоғамының жарғылық капиталын қалыптастыру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министрлiгiне "Қазақстан инжиниринг" (Kazakhstan Engineering) ұлттық компаниясы" ашық акционерлік қоғамының жарғылық капиталын қалыптастыру үшін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87200000 (сексен жетi миллион екi жүз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