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3bc7" w14:textId="df03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Pecпубликасы Денсаулық сақтау ісі жөніндегі агенттігінің "Денсаулық" pecпубликалық мемлекеттік қазыналық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2003 жылғы 20 мамырдағы N 463 қаулысы</w:t>
      </w:r>
    </w:p>
    <w:p>
      <w:pPr>
        <w:spacing w:after="0"/>
        <w:ind w:left="0"/>
        <w:jc w:val="both"/>
      </w:pPr>
      <w:bookmarkStart w:name="z6" w:id="0"/>
      <w:r>
        <w:rPr>
          <w:rFonts w:ascii="Times New Roman"/>
          <w:b w:val="false"/>
          <w:i w:val="false"/>
          <w:color w:val="000000"/>
          <w:sz w:val="28"/>
        </w:rPr>
        <w:t xml:space="preserve">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Денсаулық сақтау iсi жөніндегi агенттiгiнiң "Денсаулық" республикалық мемлекеттік қазыналық кәсіпорны Қазақстан Pecпубликасы Денсаулық сақтау министрлігінiң "Медициналық қызметтiң сапасын талдау және бағалау ұлттық орталығы" республикалық мемлекеттік қазыналық кәсіпорны (бұдан әрi - Кәсiпорын) деп қайта аталсын.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 Кәсiпорны мемлекеттiк басқару органы болып белгiленсiн.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Денсаулық сақтау министрлігі заңнамада белгіленген тәртіппен: </w:t>
      </w:r>
      <w:r>
        <w:br/>
      </w:r>
      <w:r>
        <w:rPr>
          <w:rFonts w:ascii="Times New Roman"/>
          <w:b w:val="false"/>
          <w:i w:val="false"/>
          <w:color w:val="000000"/>
          <w:sz w:val="28"/>
        </w:rPr>
        <w:t xml:space="preserve">
      1) Кәсіпорынның әдiлет органдарында мемлекеттiк қайта тіркелуін қамтамасыз етсін; </w:t>
      </w:r>
      <w:r>
        <w:br/>
      </w:r>
      <w:r>
        <w:rPr>
          <w:rFonts w:ascii="Times New Roman"/>
          <w:b w:val="false"/>
          <w:i w:val="false"/>
          <w:color w:val="000000"/>
          <w:sz w:val="28"/>
        </w:rPr>
        <w:t xml:space="preserve">
      2) осы қаулыдан өзге де шараларды қабылдасын. </w:t>
      </w:r>
    </w:p>
    <w:bookmarkEnd w:id="3"/>
    <w:bookmarkStart w:name="z4"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