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3097" w14:textId="4f83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17 сәуiрдегi N 447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26 маусымдағы N 620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"Жеке тұлғалардың салық салу объектiлерінің құнын анықтау ережесiн бекiту туралы" Қазақстан Республикасы Үкiметiнiң 2002 жылғы 17 сәуiрдегi N 447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(Қазақстан Республикасының ПҮКЖ-ы, 2002 ж., N 12, 119-құжат) мынадай өзгерiстер мен толықтырулар енгiзiлсiн: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Жеке тұлғалардың салық салу объектілерінің құнын анықтау ережесiнде: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12-тармақтың 2-кестесiндегi реттiк нөмiрi 1-жол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"Тастан, ерекше күрделі, қабырғалары кiрпiш, қалыңдығы 2,5 кiрпiштен астам немесе темiрбетонды немесе металл қаңқалы кiрпiштен, аражабындары темiрбетонды және бетонды ғимараттар; қабырғалары iрi панельдi, аражабындары темiр бетонды ғимараттар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0,7              143";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13-тармақтың 5-кестесi мынадай мазмұндағы жолмен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"қамыс қаңқалы                             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14-тармақтағы "коэффициентi (К айм.) қолданыстағы заңнамаға сәйкес анықталады" деген сөздер "коэффициентiн (К айм.) жеке тұлғалардың кәсiпкерлiк қызметте пайдаланылмайтын мүлкiне салық салу объектiлерiнiң құнын анықтау жөнiндегi уәкiлетті органдар жергіліктi атқарушы органдармен келiсiм бойынша анықтайды"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Жергiлiктi атқарушы органдар жеке тұлғалардың кәсiпкерлiк қызметте пайдаланылмайтын мүлкiне салық салу объектiлерiнiң құнын анықтау жөнiндегi уәкiлеттi органдармен аймаққа бөлу коэффициентiн келiссiн.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