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1f9b" w14:textId="d391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"Акционерлік қоғамдар туралы" Қазақстан Республикасының Заңын іске асырудың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тамыздағы N 790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"Акционерлік қоғамдар туралы" Қазақстан Республикасының 2003 жылғы 13 мамырдағы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90-бабына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қайта тіркеуге жататын заңды тұлғалар және олардың филиалдары мен өкiлдiктерi үшін "Салық және бюджетке төленетін басқа да міндетті төлемдер туралы" Қазақстан Республикасының 2001 жылғы 12 маусымдағы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398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404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407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410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413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416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419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000000"/>
          <w:sz w:val="28"/>
        </w:rPr>
        <w:t>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441-баптарында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мемлекеттік (есептiк) қайта тіркеу (қайта ресімдеу) кезінде алымдар бойынша нөлдік ставка белгіленсін.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енгізілді, мәтін бойынша сөздер қосылды - ҚР Үкіметінің 2004.05.29. N 598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көрсетілген бюджетке алымдар төленуін растайтын түбіршекті немесе құжаттарды ұсынусыз құжаттарды мемлекеттік (есептiк) қайта тіркеу (қайта ресімдеу) үшін қажетті қабылдауды мемлекеттік (есептiк) органдар жүзеге асырсын.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1-тармағында көрсетілген мемлекеттік (есептiк) қайта тіркеудің (қайта ресімдеудің) әрбір объектісіне қатысты нөлдік ставка бір мәрте қолданылады.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