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ef41" w14:textId="5b3e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2003 жылғы 2 желтоқсандағы N 1238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27 ақпандағы N 235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"Қазақстан Республикасы Президентінің 2003 жылғы 2 желтоқсандағы N 1238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0"/>
    <w:bookmarkStart w:name="z2" w:id="1"/>
    <w:p>
      <w:pPr>
        <w:spacing w:after="0"/>
        <w:ind w:left="0"/>
        <w:jc w:val="left"/>
      </w:pPr>
      <w:r>
        <w:rPr>
          <w:rFonts w:ascii="Times New Roman"/>
          <w:b/>
          <w:i w:val="false"/>
          <w:color w:val="000000"/>
        </w:rPr>
        <w:t xml:space="preserve"> 
Қазақстан Республикасы Президентінің 2003 жылғы </w:t>
      </w:r>
      <w:r>
        <w:br/>
      </w:r>
      <w:r>
        <w:rPr>
          <w:rFonts w:ascii="Times New Roman"/>
          <w:b/>
          <w:i w:val="false"/>
          <w:color w:val="000000"/>
        </w:rPr>
        <w:t xml:space="preserve">
2 желтоқсандағы N 1238 Жарлығына өзгеріс енгізу туралы </w:t>
      </w:r>
    </w:p>
    <w:bookmarkEnd w:id="1"/>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1. Қазақстан Республикасы Президентінің "Қазақстан Республикасы мен Австрия Республикасы арасындағы Табыс пен капиталға салынатын салықтарға қатысты конвенцияға қол қою туралы" 2003 жылғы 2 желтоқсандағы N 1238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N 46, 500-құжат) мынадай өзгеріс енгізілсін: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Австрия Республикасындағы Төтенше және Өкілетті Елшісі Рахат Мұхтарұлы Әлиевке Қазақстан Республикасының атынан Қазақстан Республикасы мен Австрия Республикасы арасындағы Табыс пен капиталға салынатын салықтарға қатысты конвенцияға қол қоюға өкілеттік берілсін.". </w:t>
      </w:r>
      <w:r>
        <w:br/>
      </w:r>
      <w:r>
        <w:rPr>
          <w:rFonts w:ascii="Times New Roman"/>
          <w:b w:val="false"/>
          <w:i w:val="false"/>
          <w:color w:val="000000"/>
          <w:sz w:val="28"/>
        </w:rPr>
        <w:t xml:space="preserve">
      2.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