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1a65" w14:textId="ef81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Салыққа жатпайтын түсiмдердi бюджетке аудару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1222 Қаулысы. Күші жойылды - Қазақстан Республикасы Үкіметінің 2018 жылғы 24 мамырдағы №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Бюджет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58-бабының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тармақшасына сәйкес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Салыққа жатпайтын түсiмдердi бюджетке аудару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1222 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Салыққа жатпайтын түсiмдердi бюджетке аудару ережесi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 және төлеушiлердiң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салыққа жатпайтын түсiмдердi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бюджетке аудару тәртiбiн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Бюджетке салыққа жатпайтын түсiмдердi төлеудi төлеушiлер салыққа жатпайтын түсiмдердi алуға жауапты уәкiлеттi мемлекеттiк және жергiлiктi 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құқықтық кесiмдерiнде белгiленген айқындау, алу тәртiбiне, мөлшерге (аударымдар нормативтерiне) және мерзiмге сәйкес жүргiзедi.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Салыққа жатпайтын түсiмдердi, оның iшiнде салыққа жатпайтын түсiмдердi толық және уақытылы төлемегенi үшiн айыппұлдардың (өсiмақының) сомаларын аудару мемлекеттiк бюджетке Қазақстан Республикасы Үкiметiнің шешiмiмен бекiтiлетiн </w:t>
      </w:r>
      <w:r>
        <w:rPr>
          <w:rFonts w:ascii="Times New Roman"/>
          <w:b w:val="false"/>
          <w:i w:val="false"/>
          <w:color w:val="000000"/>
          <w:sz w:val="28"/>
        </w:rPr>
        <w:t>Бiрыңғай бюджеттiк жiктеменiң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тиiстi кодтарына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салыққа жатпайтын түсiмдердi алуға жауапты мемлекеттiк орындардың мемлекеттiк бюджетке түсетiн салыққа жатпайтын түсiмдердiң толықтығын және уақытылығын қамтамасыз етуi бойынша бақылауды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Салыққа жатпайтын түсiмдердi мемлекеттiк бюджетке толық және уақытылы аудармау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 кесiмдерiне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жауапкершiлiкке әкеп соқтырады.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