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62994" w14:textId="c962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24 қаңтардағы N 100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25 қарашадағы N 1233 Қаулысы. Күші жойылды - ҚР Үкіметінің 2007.07.19. N 610 (2007 жылғы 9 тамыздан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"Салық және бюджетке төленетін басқа да міндетті төлемдер туралы" Қазақстан Республикасының 2001 жылғы 12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 (Салық кодексі) және "Лицензиялау туралы" Қазақстан Республикасының 1995 жылғы 17 сәуірдегі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"Жекелеген қызмет түрлерімен айналысу құқығы үшін лицензиялық алым ставкаларын бекіту туралы" Қазақстан Республикасы Үкіметінің 2002 жылғы 24 қаңтардағы N 100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2002 ж., N 5, 30-құжат) мынадай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жекелеген қызмет түрлерімен айналысу құқығы үшін лицензиялық алым ставкаларында: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1-тараудың 4-тармағы мынадай мазмұндағы 50)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"50) Қазақстан Республикасының Мемлекеттік туы мен Қазақстан Республикасының Мемлекеттік елтаңбасын, сондай-ақ олар бейнеленген материалдық объектілерді дайындау жөніндегі қызмет 10".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