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da73" w14:textId="b4b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11 маусымдағы N 565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тiзiлiмдерiн жасау мақсатында Жеке (заңды) тұлғаның бiрыңғай нөмiрiне (сәйкестендiру нөмiрiне (бизнес-сәйкестендiру нөмiрiне) көшу бағдарламасын бекiту туралы" Қазақстан Республикасы Үкiметiнiң 2003 жылғы 11 маусымдағы N 565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26, 247-құжат)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Ұлттық тiзiлiмдерiн жасау мақсатында Жеке (заңды) тұлғаның бiрыңғай нөмiрiне (сәйкестендiру нөмiрiне (бизнес-сәйкестендiру нөмiрiне) көшу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 мен тетiктерi"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"БСН-дi генерациялау алгоритмi" деген 4-кiшi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бесiншi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бағандағы "3 - өзге де оқшауланған құрылымдық бөлiмше"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"Бақылау разрядының мәнiн есептеу алгоритмi" деген 5-кiшi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"бiр циклда мынадай алгоритм" деген сөздер "екi циклда мынадай алгоритм"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"mod 10" деген сөздер "mod 11"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пен кесте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"СН (БСН) қолдану тетiгi мен аясы" деген 6-кіші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төртiншi абзацтағы "және басқа да оқшауланған құрылымдық бөлiмшесiн салық органдарында тіркеу" деген сөздер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