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53e2" w14:textId="0e95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Сауда-саттыққа (аукциондарға) қатысуға байланысты шығыстардың және мемлекеттiк сатып алу нысаны болып табылмайтын сауда-саттықта (аукциондарда) сатылатын, сатып алынатын мүлiктiң (активтердiң)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наурыздағы N 274 Қаулысы. Күші жойылды - Қазақстан Республикасы Үкіметінің 2010 жылғы 9 қарашадағы № 1177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2010.11.09 </w:t>
      </w:r>
      <w:r>
        <w:rPr>
          <w:rFonts w:ascii="Times New Roman"/>
          <w:b w:val="false"/>
          <w:i w:val="false"/>
          <w:color w:val="ff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"Мемлекеттiк сатып алу туралы" Қазақстан Республикасының 2002 жылғы 16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сауда-саттыққа (аукциондарға) қатысуға байланысты шығыстардың және мемлекеттiк сатып алу нысаны болып табылмайтын сауда-саттықта (аукциондарда) сатылатын, сатып алынатын мүлiктiң (активтердiң)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Сауда-саттыққа (аукциондарға) қатысуға байланысты </w:t>
      </w:r>
      <w:r>
        <w:br/>
      </w:r>
      <w:r>
        <w:rPr>
          <w:rFonts w:ascii="Times New Roman"/>
          <w:b/>
          <w:i w:val="false"/>
          <w:color w:val="000000"/>
        </w:rPr>
        <w:t xml:space="preserve">
шығыстардың және мемлекеттiк сатып алу нысаны болып табылмайтын сауда-саттықта (аукциондарда) сатылатын, </w:t>
      </w:r>
      <w:r>
        <w:br/>
      </w:r>
      <w:r>
        <w:rPr>
          <w:rFonts w:ascii="Times New Roman"/>
          <w:b/>
          <w:i w:val="false"/>
          <w:color w:val="000000"/>
        </w:rPr>
        <w:t xml:space="preserve">
сатып алынатын мүлiктiң (активтердiң)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Сауда-саттыққа (аукциондарға) қатысуға байланысты шығыстар: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сауда-саттыққа (аукциондарға) қатысу үшiн қажеттi құжаттарды сатып алу жөнiндегі;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сауда-саттыққа (аукциондарға) қатысу үшiн енгізiлетiн кепiлдi жарна.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Сауда-саттықта (аукциондарда) сатылатын, сатып алынатын мүлiк (активтер):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"Электр энергетикасы туралы" Қазақстан Республикасының 2004 жылғы 9 шiлдедегi Заңына сәйкес электр энергиясының орталықтандырылған сауда-саттықта сатып алынатын электр энергиясы;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 төлеушiлердiң салық берешегi есебiне иелiк ету шектелген мүлкі.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