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a9e4" w14:textId="59ca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мұнай өңдеу зауытын қайта жаңарту" жобасының объектiлерiн пайдалануға қабылдау жөнiндегi мемлекеттiк қабылдау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маусымдағы N 547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сәулет, қала құрылысы және құрылыс қызметi туралы" Қазақстан Республикасының 2001 жылғы 16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Атырау мұнай өңдеу зауытын қайта жаңарту объектiлерiн салудың аяқталуына байланысты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Мемлекеттiк қабылдау комиссиясы (бұдан әрi - комиссия)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Қиынов  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 минералдық ресурстар вице-министрi,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Құлекеев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Жақсыбек Әбдiрахметұлы    акционерлiк қоғамының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вице-президентi,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Масаюки Сайто           - "JGC" корпорациясының Атырау мұнай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зауытын қайта жаңарту жобасы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менеджерi,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Мирхат Әзiтайұлы          сауда министрлiгiнiң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шаруашылық iстерi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сәулет-құрылыс бақылау және инспекциялау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Мерәлиев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Садуақас Аташұлы          акционерлiк қоғамының мұнай өңдеу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мұнай-химия жөнiндегi басқарушы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Маханов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Әбдiлдаұлы          минералдық ресурстар министрлiгi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өнеркәсiбi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Шанкиева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Қабдабайқызы      қорғау министрлiгiнiң Атырау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қоршаған ортаны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  - Атырау облысының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Төлегенұлы 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Дүйсекенов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Нұрслям Рахымұлы          министрлiгi Төтенше жағдайлар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мемлекеттiк бақылау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Ермұханұлы        Салық комитетiнiң N 1 Өңiраралық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Байтазиев               - "Атырау мұнай өңдеу зауыты"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Алтыбайұлы         шектеулi серiктестiгiнiң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Юкио Ниихо              - "Марубени" корпорациясының бас менеджерi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Комиссияның жұмысы тапсырыс берушi объектiлердiң комиссияға ұсынуға дайындығы туралы ресми хабарлағаннан кейiн бес күннен кешiктiрмей басталсын.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"Атырау мұнай өңдеу зауытын қайта жаңарту" жобасының объектiлерiн пайдалануға қабылдау актісін Қазақстан Республикасы Энергетика және минералдық ресурстар министрлігіне бекiтуге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