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a711" w14:textId="222a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2007 жылғы 3 тамыздағы N 657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 және Қазақстан Республикасының 2003 жылғы 8 шілдедегі Орман кодексінің  </w:t>
      </w:r>
      <w:r>
        <w:rPr>
          <w:rFonts w:ascii="Times New Roman"/>
          <w:b w:val="false"/>
          <w:i w:val="false"/>
          <w:color w:val="000000"/>
          <w:sz w:val="28"/>
        </w:rPr>
        <w:t xml:space="preserve">51-бабына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Қарағанды облысының табиғи ресурстар және табиғатты пайдалануды реттеу басқармасы "Қарағанды ормандар мен жануарлар дүниесін қорғау жөніндегі шаруашылығы" мемлекеттік мекемесінің орман қоры жерінен алаңы 6,4 гектар жер учаскесі өнеркәсіп, көлік, байланыс, қорғаныс және өзге де ауыл шаруашылығы емес мақсаттағы жерлер санатына ауыстырылсын. </w:t>
      </w:r>
      <w:r>
        <w:br/>
      </w:r>
      <w:r>
        <w:rPr>
          <w:rFonts w:ascii="Times New Roman"/>
          <w:b w:val="false"/>
          <w:i w:val="false"/>
          <w:color w:val="000000"/>
          <w:sz w:val="28"/>
        </w:rPr>
        <w:t xml:space="preserve">
      2. Қарағанды облысының әкімі заңнамада белгіленген тәртіппен Қазақстан Республикасының Қарағанды облысындағы N 2-3 алаңның VII учаскесінде барлау және көмір өндіру жөніндегі жұмыстарды жүргізуге арналған 2006 жылғы 10 ақпандағы N 1953 келісім-шартқа сәйкес барлау және тас көмір өндіру үшін "ГШО" жауапкершілігі шектеулі серіктестігіне (бұдан әрі - серіктестік) осы қаулының 1-тармағында көрсетілген жер учаскелерін беруді қамтамасыз етсін. </w:t>
      </w:r>
      <w:r>
        <w:br/>
      </w:r>
      <w:r>
        <w:rPr>
          <w:rFonts w:ascii="Times New Roman"/>
          <w:b w:val="false"/>
          <w:i w:val="false"/>
          <w:color w:val="000000"/>
          <w:sz w:val="28"/>
        </w:rPr>
        <w:t xml:space="preserve">
      3. Серіктестік заңнамаға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w:t>
      </w:r>
      <w:r>
        <w:br/>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