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f590" w14:textId="54cf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жеке меншіктен мемлекеттік меншікке ерікті және өтеусіз беру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2011.09.28 </w:t>
      </w:r>
      <w:r>
        <w:rPr>
          <w:rFonts w:ascii="Times New Roman"/>
          <w:b w:val="false"/>
          <w:i w:val="false"/>
          <w:color w:val="00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туралы Қазақстан Республикасы Үкіметінің 2002 жылғы 26 шілдедегі N 833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25, 260-құжат)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Жекелеген негіздер бойынша мемлекет меншігіне айналдырылған (түскен) мүлікті есепке алу, сақтау, бағалау және одан әрі пайдалану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5) тармақшасындағы "белгіленген тәртіппен республика меншігіне өтеусіз өткен" деген сөздер "заңнамада көзделген өзге жағдайларда республикалық меншікке өткен"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5)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1371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 жеке меншіктен мемлекеттік меншікке ерікті </w:t>
      </w:r>
      <w:r>
        <w:br/>
      </w:r>
      <w:r>
        <w:rPr>
          <w:rFonts w:ascii="Times New Roman"/>
          <w:b/>
          <w:i w:val="false"/>
          <w:color w:val="000000"/>
        </w:rPr>
        <w:t>
және өтеусіз беру ережесі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Ереженің күші жойылды - ҚР Үкіметінің 2011.09.28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